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C15" w14:textId="77777777" w:rsidR="0032036F" w:rsidRDefault="0032036F" w:rsidP="00BA2D81">
      <w:pPr>
        <w:spacing w:after="0" w:line="240" w:lineRule="auto"/>
        <w:rPr>
          <w:b/>
          <w:sz w:val="20"/>
          <w:szCs w:val="20"/>
        </w:rPr>
      </w:pPr>
      <w:r w:rsidRPr="00C61147">
        <w:rPr>
          <w:b/>
          <w:sz w:val="20"/>
          <w:szCs w:val="20"/>
        </w:rPr>
        <w:t xml:space="preserve">Localization </w:t>
      </w:r>
      <w:proofErr w:type="spellStart"/>
      <w:r w:rsidRPr="00C61147">
        <w:rPr>
          <w:b/>
          <w:sz w:val="20"/>
          <w:szCs w:val="20"/>
        </w:rPr>
        <w:t>Workstream</w:t>
      </w:r>
      <w:proofErr w:type="spellEnd"/>
      <w:r w:rsidRPr="00C61147">
        <w:rPr>
          <w:b/>
          <w:sz w:val="20"/>
          <w:szCs w:val="20"/>
        </w:rPr>
        <w:t xml:space="preserve"> </w:t>
      </w:r>
      <w:proofErr w:type="spellStart"/>
      <w:r w:rsidRPr="00C61147">
        <w:rPr>
          <w:b/>
          <w:sz w:val="20"/>
          <w:szCs w:val="20"/>
        </w:rPr>
        <w:t>Workplan</w:t>
      </w:r>
      <w:proofErr w:type="spellEnd"/>
      <w:r w:rsidR="008F488D">
        <w:rPr>
          <w:b/>
          <w:sz w:val="20"/>
          <w:szCs w:val="20"/>
        </w:rPr>
        <w:t xml:space="preserve"> </w:t>
      </w:r>
      <w:r w:rsidR="00222766" w:rsidRPr="00C61147">
        <w:rPr>
          <w:b/>
          <w:sz w:val="20"/>
          <w:szCs w:val="20"/>
        </w:rPr>
        <w:t xml:space="preserve">2017- </w:t>
      </w:r>
      <w:r w:rsidR="00934532" w:rsidRPr="00C61147">
        <w:rPr>
          <w:b/>
          <w:sz w:val="20"/>
          <w:szCs w:val="20"/>
        </w:rPr>
        <w:t>2019</w:t>
      </w:r>
      <w:r w:rsidR="008F488D">
        <w:rPr>
          <w:b/>
          <w:sz w:val="20"/>
          <w:szCs w:val="20"/>
        </w:rPr>
        <w:t xml:space="preserve"> (Draft 3, 15 November 2017)</w:t>
      </w:r>
    </w:p>
    <w:p w14:paraId="1C1914D8" w14:textId="77777777" w:rsidR="00BA2D81" w:rsidRPr="00C61147" w:rsidRDefault="00BA2D81" w:rsidP="00BA2D81">
      <w:pPr>
        <w:spacing w:after="0" w:line="240" w:lineRule="auto"/>
        <w:rPr>
          <w:b/>
          <w:sz w:val="20"/>
          <w:szCs w:val="20"/>
        </w:rPr>
      </w:pPr>
    </w:p>
    <w:p w14:paraId="09415353" w14:textId="77777777" w:rsidR="0062359C" w:rsidRPr="00BA2D81" w:rsidRDefault="0084189B" w:rsidP="00FB4138">
      <w:pPr>
        <w:rPr>
          <w:b/>
          <w:sz w:val="20"/>
          <w:szCs w:val="20"/>
        </w:rPr>
      </w:pPr>
      <w:r w:rsidRPr="00BA2D81">
        <w:rPr>
          <w:b/>
          <w:sz w:val="20"/>
          <w:szCs w:val="20"/>
          <w:u w:val="single"/>
        </w:rPr>
        <w:t>Objectives</w:t>
      </w:r>
      <w:r w:rsidR="008C0A54" w:rsidRPr="00BA2D81">
        <w:rPr>
          <w:b/>
          <w:sz w:val="20"/>
          <w:szCs w:val="20"/>
        </w:rPr>
        <w:t xml:space="preserve"> </w:t>
      </w:r>
    </w:p>
    <w:p w14:paraId="2A265B1D" w14:textId="77777777" w:rsidR="0084189B" w:rsidRPr="00C61147" w:rsidRDefault="0084189B" w:rsidP="00FB4138">
      <w:pPr>
        <w:rPr>
          <w:sz w:val="20"/>
          <w:szCs w:val="20"/>
        </w:rPr>
      </w:pPr>
      <w:r>
        <w:rPr>
          <w:sz w:val="20"/>
          <w:szCs w:val="20"/>
        </w:rPr>
        <w:t xml:space="preserve">The overall objective of the </w:t>
      </w:r>
      <w:proofErr w:type="spellStart"/>
      <w:r>
        <w:rPr>
          <w:sz w:val="20"/>
          <w:szCs w:val="20"/>
        </w:rPr>
        <w:t>Workstream</w:t>
      </w:r>
      <w:proofErr w:type="spellEnd"/>
      <w:r>
        <w:rPr>
          <w:sz w:val="20"/>
          <w:szCs w:val="20"/>
        </w:rPr>
        <w:t xml:space="preserve"> is to promote and facilitate the implementation of </w:t>
      </w:r>
      <w:r w:rsidR="00811C49">
        <w:rPr>
          <w:sz w:val="20"/>
          <w:szCs w:val="20"/>
        </w:rPr>
        <w:t xml:space="preserve">the </w:t>
      </w:r>
      <w:r>
        <w:rPr>
          <w:sz w:val="20"/>
          <w:szCs w:val="20"/>
        </w:rPr>
        <w:t>localization commitments by all Grand Bargain signatories.  To achieve this, we will:</w:t>
      </w:r>
    </w:p>
    <w:p w14:paraId="1C8237B6" w14:textId="77777777" w:rsidR="0062359C" w:rsidRPr="00BA2D81" w:rsidRDefault="0062359C" w:rsidP="00C870D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A2D81">
        <w:rPr>
          <w:sz w:val="20"/>
          <w:szCs w:val="20"/>
        </w:rPr>
        <w:t xml:space="preserve">Ensure </w:t>
      </w:r>
      <w:r w:rsidR="00F07018" w:rsidRPr="00BA2D81">
        <w:rPr>
          <w:sz w:val="20"/>
          <w:szCs w:val="20"/>
        </w:rPr>
        <w:t xml:space="preserve">information sharing and </w:t>
      </w:r>
      <w:r w:rsidRPr="00BA2D81">
        <w:rPr>
          <w:sz w:val="20"/>
          <w:szCs w:val="20"/>
        </w:rPr>
        <w:t xml:space="preserve">wide engagement of </w:t>
      </w:r>
      <w:r w:rsidR="00F07018" w:rsidRPr="00BA2D81">
        <w:rPr>
          <w:sz w:val="20"/>
          <w:szCs w:val="20"/>
        </w:rPr>
        <w:t xml:space="preserve">Grand Bargain signatories </w:t>
      </w:r>
      <w:r w:rsidRPr="00BA2D81">
        <w:rPr>
          <w:sz w:val="20"/>
          <w:szCs w:val="20"/>
        </w:rPr>
        <w:t>and local actors in the work of th</w:t>
      </w:r>
      <w:r w:rsidR="003B5C3A" w:rsidRPr="00BA2D81">
        <w:rPr>
          <w:sz w:val="20"/>
          <w:szCs w:val="20"/>
        </w:rPr>
        <w:t>is</w:t>
      </w:r>
      <w:r w:rsidRPr="00BA2D81">
        <w:rPr>
          <w:sz w:val="20"/>
          <w:szCs w:val="20"/>
        </w:rPr>
        <w:t xml:space="preserve"> </w:t>
      </w:r>
      <w:proofErr w:type="spellStart"/>
      <w:r w:rsidRPr="00BA2D81">
        <w:rPr>
          <w:sz w:val="20"/>
          <w:szCs w:val="20"/>
        </w:rPr>
        <w:t>workstream</w:t>
      </w:r>
      <w:proofErr w:type="spellEnd"/>
      <w:r w:rsidR="00BE6E8E">
        <w:rPr>
          <w:sz w:val="20"/>
          <w:szCs w:val="20"/>
        </w:rPr>
        <w:t>,</w:t>
      </w:r>
      <w:r w:rsidRPr="00BA2D81">
        <w:rPr>
          <w:sz w:val="20"/>
          <w:szCs w:val="20"/>
        </w:rPr>
        <w:t xml:space="preserve"> </w:t>
      </w:r>
      <w:r w:rsidR="00F07018" w:rsidRPr="00BA2D81">
        <w:rPr>
          <w:sz w:val="20"/>
          <w:szCs w:val="20"/>
        </w:rPr>
        <w:t>other</w:t>
      </w:r>
      <w:r w:rsidR="00BE6E8E">
        <w:rPr>
          <w:sz w:val="20"/>
          <w:szCs w:val="20"/>
        </w:rPr>
        <w:t xml:space="preserve"> </w:t>
      </w:r>
      <w:r w:rsidR="00F07018" w:rsidRPr="00BA2D81">
        <w:rPr>
          <w:sz w:val="20"/>
          <w:szCs w:val="20"/>
        </w:rPr>
        <w:t xml:space="preserve">relevant </w:t>
      </w:r>
      <w:r w:rsidR="001F5BC3">
        <w:rPr>
          <w:sz w:val="20"/>
          <w:szCs w:val="20"/>
        </w:rPr>
        <w:t>Grand Bargain</w:t>
      </w:r>
      <w:r w:rsidR="001F5BC3" w:rsidRPr="00BA2D81">
        <w:rPr>
          <w:sz w:val="20"/>
          <w:szCs w:val="20"/>
        </w:rPr>
        <w:t xml:space="preserve"> </w:t>
      </w:r>
      <w:proofErr w:type="spellStart"/>
      <w:r w:rsidR="003B5C3A" w:rsidRPr="00BA2D81">
        <w:rPr>
          <w:sz w:val="20"/>
          <w:szCs w:val="20"/>
        </w:rPr>
        <w:t>workstreams</w:t>
      </w:r>
      <w:proofErr w:type="spellEnd"/>
      <w:r w:rsidR="00F07018" w:rsidRPr="00BA2D81">
        <w:rPr>
          <w:sz w:val="20"/>
          <w:szCs w:val="20"/>
        </w:rPr>
        <w:t xml:space="preserve"> </w:t>
      </w:r>
      <w:r w:rsidR="00BE6E8E">
        <w:rPr>
          <w:sz w:val="20"/>
          <w:szCs w:val="20"/>
        </w:rPr>
        <w:t>as well as other initiatives and processes.</w:t>
      </w:r>
    </w:p>
    <w:p w14:paraId="4AA0023B" w14:textId="77777777" w:rsidR="0062359C" w:rsidRPr="00BA2D81" w:rsidRDefault="0062359C" w:rsidP="00C870D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A2D81">
        <w:rPr>
          <w:sz w:val="20"/>
          <w:szCs w:val="20"/>
        </w:rPr>
        <w:t xml:space="preserve">Demonstrate </w:t>
      </w:r>
      <w:r w:rsidR="0074685C" w:rsidRPr="00BA2D81">
        <w:rPr>
          <w:sz w:val="20"/>
          <w:szCs w:val="20"/>
        </w:rPr>
        <w:t xml:space="preserve">the </w:t>
      </w:r>
      <w:r w:rsidRPr="00BA2D81">
        <w:rPr>
          <w:sz w:val="20"/>
          <w:szCs w:val="20"/>
        </w:rPr>
        <w:t xml:space="preserve">potential for improvements </w:t>
      </w:r>
      <w:r w:rsidR="0074685C" w:rsidRPr="00BA2D81">
        <w:rPr>
          <w:sz w:val="20"/>
          <w:szCs w:val="20"/>
        </w:rPr>
        <w:t xml:space="preserve">in localization of aid </w:t>
      </w:r>
      <w:r w:rsidRPr="00BA2D81">
        <w:rPr>
          <w:sz w:val="20"/>
          <w:szCs w:val="20"/>
        </w:rPr>
        <w:t xml:space="preserve">through cooperative activities in selected pilot countries. </w:t>
      </w:r>
    </w:p>
    <w:p w14:paraId="7782655A" w14:textId="77777777" w:rsidR="00370E5E" w:rsidRDefault="0062359C" w:rsidP="00C870D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A2D81">
        <w:rPr>
          <w:sz w:val="20"/>
          <w:szCs w:val="20"/>
        </w:rPr>
        <w:t>Share experience and research</w:t>
      </w:r>
      <w:r w:rsidR="009459D1">
        <w:rPr>
          <w:sz w:val="20"/>
          <w:szCs w:val="20"/>
        </w:rPr>
        <w:t xml:space="preserve"> in order</w:t>
      </w:r>
      <w:r w:rsidRPr="00BA2D81">
        <w:rPr>
          <w:sz w:val="20"/>
          <w:szCs w:val="20"/>
        </w:rPr>
        <w:t xml:space="preserve"> </w:t>
      </w:r>
      <w:r w:rsidR="009459D1">
        <w:rPr>
          <w:sz w:val="20"/>
          <w:szCs w:val="20"/>
        </w:rPr>
        <w:t>to</w:t>
      </w:r>
      <w:r w:rsidRPr="00BA2D81">
        <w:rPr>
          <w:sz w:val="20"/>
          <w:szCs w:val="20"/>
        </w:rPr>
        <w:t xml:space="preserve"> develop </w:t>
      </w:r>
      <w:r w:rsidR="003B5C3A" w:rsidRPr="00BA2D81">
        <w:rPr>
          <w:sz w:val="20"/>
          <w:szCs w:val="20"/>
        </w:rPr>
        <w:t xml:space="preserve">common </w:t>
      </w:r>
      <w:r w:rsidRPr="00BA2D81">
        <w:rPr>
          <w:sz w:val="20"/>
          <w:szCs w:val="20"/>
        </w:rPr>
        <w:t>understandings of how best to achieve localization goals</w:t>
      </w:r>
      <w:r w:rsidR="00BE6E8E">
        <w:rPr>
          <w:sz w:val="20"/>
          <w:szCs w:val="20"/>
        </w:rPr>
        <w:t>.</w:t>
      </w:r>
    </w:p>
    <w:p w14:paraId="60771851" w14:textId="77777777" w:rsidR="0062359C" w:rsidRPr="00BA2D81" w:rsidRDefault="0062359C" w:rsidP="00C870D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A2D81">
        <w:rPr>
          <w:sz w:val="20"/>
          <w:szCs w:val="20"/>
        </w:rPr>
        <w:t>Support the measurement of progress on</w:t>
      </w:r>
      <w:r w:rsidR="0074685C" w:rsidRPr="00BA2D81">
        <w:rPr>
          <w:sz w:val="20"/>
          <w:szCs w:val="20"/>
        </w:rPr>
        <w:t xml:space="preserve"> local</w:t>
      </w:r>
      <w:r w:rsidRPr="00BA2D81">
        <w:rPr>
          <w:sz w:val="20"/>
          <w:szCs w:val="20"/>
        </w:rPr>
        <w:t xml:space="preserve"> financing goals</w:t>
      </w:r>
      <w:r w:rsidR="009459D1">
        <w:rPr>
          <w:sz w:val="20"/>
          <w:szCs w:val="20"/>
        </w:rPr>
        <w:t>.</w:t>
      </w:r>
    </w:p>
    <w:p w14:paraId="53ECC78C" w14:textId="77777777" w:rsidR="003B5C3A" w:rsidRPr="00BA2D81" w:rsidRDefault="00AC6733" w:rsidP="00BA2D8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Activity plan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018"/>
        <w:gridCol w:w="6595"/>
        <w:gridCol w:w="2835"/>
        <w:gridCol w:w="1560"/>
        <w:gridCol w:w="1417"/>
      </w:tblGrid>
      <w:tr w:rsidR="00FE6B83" w:rsidRPr="00C61147" w14:paraId="593BD938" w14:textId="77777777" w:rsidTr="00FE6B83">
        <w:trPr>
          <w:trHeight w:val="340"/>
          <w:tblHeader/>
        </w:trPr>
        <w:tc>
          <w:tcPr>
            <w:tcW w:w="2018" w:type="dxa"/>
            <w:shd w:val="clear" w:color="auto" w:fill="F4B083" w:themeFill="accent2" w:themeFillTint="99"/>
          </w:tcPr>
          <w:p w14:paraId="3DB023D2" w14:textId="77777777" w:rsidR="00FE6B83" w:rsidRPr="00C61147" w:rsidRDefault="00FE6B83">
            <w:pPr>
              <w:rPr>
                <w:b/>
                <w:sz w:val="20"/>
                <w:szCs w:val="20"/>
              </w:rPr>
            </w:pPr>
            <w:r w:rsidRPr="00C61147">
              <w:rPr>
                <w:b/>
                <w:sz w:val="20"/>
                <w:szCs w:val="20"/>
              </w:rPr>
              <w:t xml:space="preserve">Objectives </w:t>
            </w:r>
          </w:p>
        </w:tc>
        <w:tc>
          <w:tcPr>
            <w:tcW w:w="6595" w:type="dxa"/>
            <w:shd w:val="clear" w:color="auto" w:fill="F4B083" w:themeFill="accent2" w:themeFillTint="99"/>
          </w:tcPr>
          <w:p w14:paraId="295B0097" w14:textId="77777777" w:rsidR="00FE6B83" w:rsidRPr="00C61147" w:rsidRDefault="00FE6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</w:t>
            </w:r>
            <w:r w:rsidRPr="00C6114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3325768" w14:textId="77777777" w:rsidR="00FE6B83" w:rsidRPr="00C61147" w:rsidRDefault="00FE6B83">
            <w:pPr>
              <w:rPr>
                <w:b/>
                <w:sz w:val="20"/>
                <w:szCs w:val="20"/>
              </w:rPr>
            </w:pPr>
            <w:r w:rsidRPr="00C61147">
              <w:rPr>
                <w:b/>
                <w:sz w:val="20"/>
                <w:szCs w:val="20"/>
              </w:rPr>
              <w:t>Coordinator or lead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D4FED3F" w14:textId="77777777" w:rsidR="00FE6B83" w:rsidRPr="00C61147" w:rsidRDefault="00FE6B83" w:rsidP="0074685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14:paraId="5E4D7A21" w14:textId="77777777" w:rsidR="00FE6B83" w:rsidRPr="00C61147" w:rsidRDefault="00FE6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Relevant</w:t>
            </w:r>
            <w:r w:rsidRPr="00C61147">
              <w:rPr>
                <w:b/>
                <w:sz w:val="20"/>
                <w:szCs w:val="20"/>
              </w:rPr>
              <w:t xml:space="preserve"> other actors/ processes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5D532192" w14:textId="77777777" w:rsidR="00FE6B83" w:rsidRPr="00C61147" w:rsidRDefault="00FE6B83">
            <w:pPr>
              <w:rPr>
                <w:b/>
                <w:sz w:val="20"/>
                <w:szCs w:val="20"/>
              </w:rPr>
            </w:pPr>
            <w:r w:rsidRPr="00C61147">
              <w:rPr>
                <w:b/>
                <w:sz w:val="20"/>
                <w:szCs w:val="20"/>
              </w:rPr>
              <w:t>Timeline</w:t>
            </w:r>
          </w:p>
        </w:tc>
      </w:tr>
      <w:tr w:rsidR="00FE6B83" w:rsidRPr="00C61147" w14:paraId="624E4E7B" w14:textId="77777777" w:rsidTr="00FE6B83">
        <w:tc>
          <w:tcPr>
            <w:tcW w:w="2018" w:type="dxa"/>
            <w:vMerge w:val="restart"/>
          </w:tcPr>
          <w:p w14:paraId="68092ADC" w14:textId="77777777" w:rsidR="00FE6B83" w:rsidRPr="00C61147" w:rsidRDefault="00FE6B83" w:rsidP="00C870D6">
            <w:pPr>
              <w:rPr>
                <w:b/>
                <w:sz w:val="20"/>
                <w:szCs w:val="20"/>
              </w:rPr>
            </w:pPr>
            <w:r w:rsidRPr="00C61147">
              <w:rPr>
                <w:b/>
                <w:sz w:val="20"/>
                <w:szCs w:val="20"/>
              </w:rPr>
              <w:t xml:space="preserve">Engagement </w:t>
            </w:r>
          </w:p>
          <w:p w14:paraId="42BE1AE1" w14:textId="77777777" w:rsidR="00FE6B83" w:rsidRPr="00C61147" w:rsidRDefault="00FE6B83" w:rsidP="005A5218">
            <w:pPr>
              <w:pStyle w:val="ListParagraph"/>
              <w:numPr>
                <w:ilvl w:val="0"/>
                <w:numId w:val="1"/>
              </w:numPr>
              <w:ind w:left="312" w:hanging="312"/>
              <w:rPr>
                <w:i/>
                <w:sz w:val="20"/>
                <w:szCs w:val="20"/>
              </w:rPr>
            </w:pPr>
            <w:r w:rsidRPr="00C61147">
              <w:rPr>
                <w:i/>
                <w:sz w:val="20"/>
                <w:szCs w:val="20"/>
              </w:rPr>
              <w:t xml:space="preserve">Ensure </w:t>
            </w:r>
            <w:r>
              <w:rPr>
                <w:i/>
                <w:sz w:val="20"/>
                <w:szCs w:val="20"/>
              </w:rPr>
              <w:t xml:space="preserve">strong information sharing and </w:t>
            </w:r>
            <w:r w:rsidRPr="00C61147">
              <w:rPr>
                <w:i/>
                <w:sz w:val="20"/>
                <w:szCs w:val="20"/>
              </w:rPr>
              <w:t xml:space="preserve">wide engagement of </w:t>
            </w:r>
            <w:r>
              <w:rPr>
                <w:i/>
                <w:sz w:val="20"/>
                <w:szCs w:val="20"/>
              </w:rPr>
              <w:t>Grand Bargain signatories</w:t>
            </w:r>
            <w:r w:rsidRPr="00C61147">
              <w:rPr>
                <w:i/>
                <w:sz w:val="20"/>
                <w:szCs w:val="20"/>
              </w:rPr>
              <w:t xml:space="preserve"> and local actors in the work of the </w:t>
            </w:r>
            <w:proofErr w:type="spellStart"/>
            <w:r w:rsidRPr="00C61147">
              <w:rPr>
                <w:i/>
                <w:sz w:val="20"/>
                <w:szCs w:val="20"/>
              </w:rPr>
              <w:t>workstream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 w:rsidRPr="00C61147">
              <w:rPr>
                <w:i/>
                <w:sz w:val="20"/>
                <w:szCs w:val="20"/>
              </w:rPr>
              <w:t xml:space="preserve"> other relevant </w:t>
            </w:r>
            <w:proofErr w:type="spellStart"/>
            <w:r>
              <w:rPr>
                <w:i/>
                <w:sz w:val="20"/>
                <w:szCs w:val="20"/>
              </w:rPr>
              <w:t>workstreams</w:t>
            </w:r>
            <w:proofErr w:type="spellEnd"/>
            <w:r w:rsidRPr="00C6114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and other initiatives and processes</w:t>
            </w:r>
          </w:p>
          <w:p w14:paraId="121A053B" w14:textId="77777777" w:rsidR="00FE6B83" w:rsidRPr="00C61147" w:rsidRDefault="00FE6B83">
            <w:pPr>
              <w:rPr>
                <w:b/>
                <w:sz w:val="20"/>
                <w:szCs w:val="20"/>
              </w:rPr>
            </w:pPr>
          </w:p>
          <w:p w14:paraId="0B475399" w14:textId="77777777" w:rsidR="00FE6B83" w:rsidRPr="00C61147" w:rsidRDefault="00FE6B83" w:rsidP="001A0569">
            <w:pPr>
              <w:rPr>
                <w:b/>
                <w:sz w:val="20"/>
                <w:szCs w:val="20"/>
              </w:rPr>
            </w:pPr>
          </w:p>
          <w:p w14:paraId="4A5EB9AC" w14:textId="77777777" w:rsidR="00FE6B83" w:rsidRPr="00C61147" w:rsidRDefault="00FE6B83" w:rsidP="001A0569">
            <w:pPr>
              <w:rPr>
                <w:b/>
                <w:sz w:val="20"/>
                <w:szCs w:val="20"/>
              </w:rPr>
            </w:pPr>
          </w:p>
          <w:p w14:paraId="2F05D1F4" w14:textId="77777777" w:rsidR="00FE6B83" w:rsidRPr="00C61147" w:rsidRDefault="00FE6B83" w:rsidP="001A0569">
            <w:pPr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FFFFFF" w:themeFill="background1"/>
          </w:tcPr>
          <w:p w14:paraId="0D5448A6" w14:textId="77777777" w:rsidR="00FE6B83" w:rsidRPr="00C61147" w:rsidRDefault="00FE6B83" w:rsidP="00C870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 xml:space="preserve">Organize </w:t>
            </w:r>
            <w:r w:rsidRPr="00C61147">
              <w:rPr>
                <w:sz w:val="20"/>
                <w:szCs w:val="20"/>
                <w:u w:val="single"/>
              </w:rPr>
              <w:t>bi-monthly teleconferences</w:t>
            </w:r>
            <w:r w:rsidRPr="00C61147">
              <w:rPr>
                <w:sz w:val="20"/>
                <w:szCs w:val="20"/>
              </w:rPr>
              <w:t xml:space="preserve"> of Grand Bargain signatories and other partners to share information and coordinate activities in the </w:t>
            </w:r>
            <w:proofErr w:type="spellStart"/>
            <w:r w:rsidRPr="00C61147">
              <w:rPr>
                <w:sz w:val="20"/>
                <w:szCs w:val="20"/>
              </w:rPr>
              <w:t>workstream</w:t>
            </w:r>
            <w:proofErr w:type="spellEnd"/>
            <w:r w:rsidRPr="00C61147">
              <w:rPr>
                <w:sz w:val="20"/>
                <w:szCs w:val="20"/>
              </w:rPr>
              <w:t xml:space="preserve">.  </w:t>
            </w:r>
          </w:p>
          <w:p w14:paraId="7573B4F6" w14:textId="77777777" w:rsidR="00FE6B83" w:rsidRPr="00C61147" w:rsidRDefault="00FE6B83" w:rsidP="00C870D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2F22518" w14:textId="77777777" w:rsidR="00FE6B83" w:rsidRDefault="00FE6B83" w:rsidP="005A52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>Aim for at least 25% of participants</w:t>
            </w:r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workstream</w:t>
            </w:r>
            <w:proofErr w:type="spellEnd"/>
            <w:r w:rsidRPr="00C61147">
              <w:rPr>
                <w:sz w:val="20"/>
                <w:szCs w:val="20"/>
              </w:rPr>
              <w:t xml:space="preserve"> to be local actors (ensuring a diversity of voices, regions and areas of focus (e.g. women’s issues, development, etc.).  </w:t>
            </w:r>
          </w:p>
          <w:p w14:paraId="4E8600EE" w14:textId="77777777" w:rsidR="00FE6B83" w:rsidRPr="00BA2D81" w:rsidRDefault="00FE6B83" w:rsidP="00BA2D81">
            <w:pPr>
              <w:rPr>
                <w:sz w:val="20"/>
                <w:szCs w:val="20"/>
              </w:rPr>
            </w:pPr>
          </w:p>
          <w:p w14:paraId="05DE8401" w14:textId="77777777" w:rsidR="00FE6B83" w:rsidRDefault="00FE6B83" w:rsidP="006505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 xml:space="preserve">As appropriate, organize separate, </w:t>
            </w:r>
            <w:r w:rsidRPr="00C61147">
              <w:rPr>
                <w:sz w:val="20"/>
                <w:szCs w:val="20"/>
                <w:u w:val="single"/>
              </w:rPr>
              <w:t>smaller-group calls</w:t>
            </w:r>
            <w:r w:rsidRPr="00C61147">
              <w:rPr>
                <w:sz w:val="20"/>
                <w:szCs w:val="20"/>
              </w:rPr>
              <w:t xml:space="preserve"> on specific </w:t>
            </w:r>
            <w:r>
              <w:rPr>
                <w:sz w:val="20"/>
                <w:szCs w:val="20"/>
              </w:rPr>
              <w:t>projects</w:t>
            </w:r>
            <w:r w:rsidRPr="00C61147">
              <w:rPr>
                <w:sz w:val="20"/>
                <w:szCs w:val="20"/>
              </w:rPr>
              <w:t xml:space="preserve"> (e.g.</w:t>
            </w:r>
            <w:r>
              <w:rPr>
                <w:sz w:val="20"/>
                <w:szCs w:val="20"/>
              </w:rPr>
              <w:t xml:space="preserve">, </w:t>
            </w:r>
            <w:r w:rsidRPr="00C61147">
              <w:rPr>
                <w:sz w:val="20"/>
                <w:szCs w:val="20"/>
              </w:rPr>
              <w:t>the guidance notes</w:t>
            </w:r>
            <w:r>
              <w:rPr>
                <w:sz w:val="20"/>
                <w:szCs w:val="20"/>
              </w:rPr>
              <w:t xml:space="preserve"> and/or </w:t>
            </w:r>
            <w:r w:rsidRPr="00C61147">
              <w:rPr>
                <w:sz w:val="20"/>
                <w:szCs w:val="20"/>
              </w:rPr>
              <w:t>pilot projects).</w:t>
            </w:r>
          </w:p>
          <w:p w14:paraId="447AD029" w14:textId="77777777" w:rsidR="00FE6B83" w:rsidRPr="00F92443" w:rsidRDefault="00FE6B83" w:rsidP="00F92443">
            <w:pPr>
              <w:rPr>
                <w:sz w:val="20"/>
                <w:szCs w:val="20"/>
              </w:rPr>
            </w:pPr>
          </w:p>
          <w:p w14:paraId="36909EC5" w14:textId="77777777" w:rsidR="00FE6B83" w:rsidRPr="000412B0" w:rsidRDefault="00FE6B83" w:rsidP="000412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 quarterly webinars open to anyone interested to update on </w:t>
            </w:r>
            <w:proofErr w:type="spellStart"/>
            <w:r>
              <w:rPr>
                <w:sz w:val="20"/>
                <w:szCs w:val="20"/>
              </w:rPr>
              <w:t>workstream</w:t>
            </w:r>
            <w:proofErr w:type="spellEnd"/>
            <w:r>
              <w:rPr>
                <w:sz w:val="20"/>
                <w:szCs w:val="20"/>
              </w:rPr>
              <w:t xml:space="preserve"> progress and plans.</w:t>
            </w:r>
          </w:p>
        </w:tc>
        <w:tc>
          <w:tcPr>
            <w:tcW w:w="2835" w:type="dxa"/>
            <w:shd w:val="clear" w:color="auto" w:fill="auto"/>
          </w:tcPr>
          <w:p w14:paraId="6527B84B" w14:textId="77777777" w:rsidR="00FE6B83" w:rsidRDefault="00FE6B83" w:rsidP="00C870D6">
            <w:p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>Co-conveners</w:t>
            </w:r>
          </w:p>
          <w:p w14:paraId="3FD5EF16" w14:textId="77777777" w:rsidR="00FE6B83" w:rsidRDefault="00FE6B83" w:rsidP="00C870D6">
            <w:pPr>
              <w:rPr>
                <w:sz w:val="20"/>
                <w:szCs w:val="20"/>
              </w:rPr>
            </w:pPr>
          </w:p>
          <w:p w14:paraId="0D41F0AB" w14:textId="77777777" w:rsidR="00FE6B83" w:rsidRDefault="00FE6B83" w:rsidP="00C870D6">
            <w:pPr>
              <w:rPr>
                <w:sz w:val="20"/>
                <w:szCs w:val="20"/>
              </w:rPr>
            </w:pPr>
          </w:p>
          <w:p w14:paraId="35BA8326" w14:textId="77777777" w:rsidR="00FE6B83" w:rsidRDefault="00FE6B83" w:rsidP="00CA021F">
            <w:pPr>
              <w:rPr>
                <w:sz w:val="20"/>
                <w:szCs w:val="20"/>
              </w:rPr>
            </w:pPr>
            <w:r w:rsidRPr="009179FF">
              <w:rPr>
                <w:sz w:val="20"/>
                <w:szCs w:val="20"/>
              </w:rPr>
              <w:t>Acceleration Localisation project,</w:t>
            </w:r>
            <w:r>
              <w:rPr>
                <w:sz w:val="20"/>
                <w:szCs w:val="20"/>
              </w:rPr>
              <w:t xml:space="preserve"> CAFOD for</w:t>
            </w:r>
            <w:r w:rsidRPr="009179FF">
              <w:rPr>
                <w:sz w:val="20"/>
                <w:szCs w:val="20"/>
              </w:rPr>
              <w:t xml:space="preserve"> Charter for Change </w:t>
            </w:r>
            <w:r>
              <w:rPr>
                <w:sz w:val="20"/>
                <w:szCs w:val="20"/>
              </w:rPr>
              <w:t xml:space="preserve">organisations, CP AOR </w:t>
            </w:r>
            <w:r w:rsidRPr="009179FF">
              <w:rPr>
                <w:sz w:val="20"/>
                <w:szCs w:val="20"/>
              </w:rPr>
              <w:t xml:space="preserve">and ICVA will reach out to </w:t>
            </w:r>
            <w:r>
              <w:rPr>
                <w:sz w:val="20"/>
                <w:szCs w:val="20"/>
              </w:rPr>
              <w:t xml:space="preserve">their </w:t>
            </w:r>
            <w:r w:rsidRPr="009179FF">
              <w:rPr>
                <w:sz w:val="20"/>
                <w:szCs w:val="20"/>
              </w:rPr>
              <w:t>networks</w:t>
            </w:r>
          </w:p>
          <w:p w14:paraId="4F461707" w14:textId="77777777" w:rsidR="008F488D" w:rsidRDefault="008F488D" w:rsidP="00CA021F">
            <w:pPr>
              <w:rPr>
                <w:sz w:val="20"/>
                <w:szCs w:val="20"/>
              </w:rPr>
            </w:pPr>
          </w:p>
          <w:p w14:paraId="4EEE59A8" w14:textId="77777777" w:rsidR="00FE6B83" w:rsidRDefault="00FE6B83" w:rsidP="00CA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Leads of the projects</w:t>
            </w:r>
          </w:p>
          <w:p w14:paraId="28F27460" w14:textId="77777777" w:rsidR="00FE6B83" w:rsidRDefault="00FE6B83" w:rsidP="00CA021F">
            <w:pPr>
              <w:rPr>
                <w:sz w:val="20"/>
                <w:szCs w:val="20"/>
              </w:rPr>
            </w:pPr>
          </w:p>
          <w:p w14:paraId="78674164" w14:textId="77777777" w:rsidR="008F488D" w:rsidRDefault="008F488D" w:rsidP="00CA021F">
            <w:pPr>
              <w:rPr>
                <w:sz w:val="20"/>
                <w:szCs w:val="20"/>
              </w:rPr>
            </w:pPr>
          </w:p>
          <w:p w14:paraId="2C449436" w14:textId="77777777" w:rsidR="00FE6B83" w:rsidRPr="00C61147" w:rsidRDefault="00FE6B83" w:rsidP="00CA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Co-convenors</w:t>
            </w:r>
          </w:p>
        </w:tc>
        <w:tc>
          <w:tcPr>
            <w:tcW w:w="1560" w:type="dxa"/>
          </w:tcPr>
          <w:p w14:paraId="5DF6B142" w14:textId="77777777" w:rsidR="00FE6B83" w:rsidRDefault="00FE6B83" w:rsidP="00BA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IASC HFTT LMWG</w:t>
            </w:r>
          </w:p>
          <w:p w14:paraId="5BFB226B" w14:textId="77777777" w:rsidR="00FE6B83" w:rsidRDefault="00FE6B83" w:rsidP="00BA2D81">
            <w:pPr>
              <w:rPr>
                <w:sz w:val="20"/>
                <w:szCs w:val="20"/>
              </w:rPr>
            </w:pPr>
          </w:p>
          <w:p w14:paraId="4C643CDC" w14:textId="77777777" w:rsidR="00FE6B83" w:rsidRPr="00BA2D81" w:rsidRDefault="00FE6B83" w:rsidP="00BA2D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7FA388" w14:textId="77777777" w:rsidR="00FE6B83" w:rsidRPr="00BA2D81" w:rsidRDefault="00FE6B83" w:rsidP="00BA2D81">
            <w:pPr>
              <w:rPr>
                <w:sz w:val="20"/>
                <w:szCs w:val="20"/>
              </w:rPr>
            </w:pPr>
            <w:r w:rsidRPr="00BA2D81">
              <w:rPr>
                <w:sz w:val="20"/>
                <w:szCs w:val="20"/>
              </w:rPr>
              <w:t>From Sept</w:t>
            </w:r>
            <w:r>
              <w:rPr>
                <w:sz w:val="20"/>
                <w:szCs w:val="20"/>
              </w:rPr>
              <w:t>ember</w:t>
            </w:r>
            <w:r w:rsidRPr="00BA2D81">
              <w:rPr>
                <w:sz w:val="20"/>
                <w:szCs w:val="20"/>
              </w:rPr>
              <w:t xml:space="preserve"> 2017</w:t>
            </w:r>
          </w:p>
          <w:p w14:paraId="07B1698F" w14:textId="77777777" w:rsidR="00FE6B83" w:rsidRPr="00C61147" w:rsidRDefault="00FE6B83" w:rsidP="00557882">
            <w:pPr>
              <w:rPr>
                <w:sz w:val="20"/>
                <w:szCs w:val="20"/>
              </w:rPr>
            </w:pPr>
          </w:p>
          <w:p w14:paraId="3C2B3B90" w14:textId="77777777" w:rsidR="00FE6B83" w:rsidRPr="00C61147" w:rsidRDefault="00FE6B83" w:rsidP="00146695">
            <w:pPr>
              <w:rPr>
                <w:sz w:val="20"/>
                <w:szCs w:val="20"/>
              </w:rPr>
            </w:pPr>
          </w:p>
          <w:p w14:paraId="6198C805" w14:textId="77777777" w:rsidR="008F488D" w:rsidRDefault="008F488D" w:rsidP="00BA2D81">
            <w:pPr>
              <w:rPr>
                <w:sz w:val="20"/>
                <w:szCs w:val="20"/>
              </w:rPr>
            </w:pPr>
          </w:p>
          <w:p w14:paraId="3D3E574F" w14:textId="77777777" w:rsidR="00FE6B83" w:rsidRPr="00BA2D81" w:rsidRDefault="00FE6B83" w:rsidP="00BA2D81">
            <w:pPr>
              <w:rPr>
                <w:sz w:val="20"/>
                <w:szCs w:val="20"/>
              </w:rPr>
            </w:pPr>
            <w:r w:rsidRPr="00BA2D81">
              <w:rPr>
                <w:sz w:val="20"/>
                <w:szCs w:val="20"/>
              </w:rPr>
              <w:t>From November 2017</w:t>
            </w:r>
          </w:p>
          <w:p w14:paraId="1BA85655" w14:textId="77777777" w:rsidR="00FE6B83" w:rsidRPr="00C61147" w:rsidRDefault="00FE6B83" w:rsidP="005A5218">
            <w:pPr>
              <w:rPr>
                <w:sz w:val="20"/>
                <w:szCs w:val="20"/>
              </w:rPr>
            </w:pPr>
          </w:p>
          <w:p w14:paraId="2404AC2F" w14:textId="77777777" w:rsidR="00FE6B83" w:rsidRPr="00C61147" w:rsidRDefault="00FE6B83" w:rsidP="00860C41">
            <w:pPr>
              <w:rPr>
                <w:sz w:val="20"/>
                <w:szCs w:val="20"/>
              </w:rPr>
            </w:pPr>
          </w:p>
        </w:tc>
      </w:tr>
      <w:tr w:rsidR="00FE6B83" w:rsidRPr="00C61147" w14:paraId="08E4A666" w14:textId="77777777" w:rsidTr="00FE6B83">
        <w:trPr>
          <w:trHeight w:val="606"/>
        </w:trPr>
        <w:tc>
          <w:tcPr>
            <w:tcW w:w="2018" w:type="dxa"/>
            <w:vMerge/>
          </w:tcPr>
          <w:p w14:paraId="7125A27E" w14:textId="77777777" w:rsidR="00FE6B83" w:rsidRPr="00C61147" w:rsidRDefault="00FE6B83" w:rsidP="001A0569">
            <w:pPr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auto"/>
          </w:tcPr>
          <w:p w14:paraId="4BD7A57F" w14:textId="77777777" w:rsidR="00FE6B83" w:rsidRDefault="00FE6B83" w:rsidP="00E363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 xml:space="preserve">Engage </w:t>
            </w:r>
            <w:r w:rsidR="00AE6810">
              <w:rPr>
                <w:sz w:val="20"/>
                <w:szCs w:val="20"/>
              </w:rPr>
              <w:t xml:space="preserve">with </w:t>
            </w:r>
            <w:r w:rsidRPr="00C61147">
              <w:rPr>
                <w:sz w:val="20"/>
                <w:szCs w:val="20"/>
                <w:u w:val="single"/>
              </w:rPr>
              <w:t xml:space="preserve">other </w:t>
            </w:r>
            <w:r>
              <w:rPr>
                <w:sz w:val="20"/>
                <w:szCs w:val="20"/>
                <w:u w:val="single"/>
              </w:rPr>
              <w:t xml:space="preserve">Grand Bargain </w:t>
            </w:r>
            <w:proofErr w:type="spellStart"/>
            <w:r w:rsidRPr="00C61147">
              <w:rPr>
                <w:sz w:val="20"/>
                <w:szCs w:val="20"/>
                <w:u w:val="single"/>
              </w:rPr>
              <w:t>workstreams</w:t>
            </w:r>
            <w:proofErr w:type="spellEnd"/>
            <w:r w:rsidRPr="00C61147">
              <w:rPr>
                <w:sz w:val="20"/>
                <w:szCs w:val="20"/>
                <w:u w:val="single"/>
              </w:rPr>
              <w:t xml:space="preserve"> and</w:t>
            </w:r>
            <w:r>
              <w:rPr>
                <w:sz w:val="20"/>
                <w:szCs w:val="20"/>
                <w:u w:val="single"/>
              </w:rPr>
              <w:t xml:space="preserve"> other</w:t>
            </w:r>
            <w:r w:rsidRPr="00C61147">
              <w:rPr>
                <w:sz w:val="20"/>
                <w:szCs w:val="20"/>
                <w:u w:val="single"/>
              </w:rPr>
              <w:t xml:space="preserve"> relevant </w:t>
            </w:r>
            <w:r>
              <w:rPr>
                <w:sz w:val="20"/>
                <w:szCs w:val="20"/>
                <w:u w:val="single"/>
              </w:rPr>
              <w:t xml:space="preserve">actors and </w:t>
            </w:r>
            <w:r w:rsidRPr="00C61147">
              <w:rPr>
                <w:sz w:val="20"/>
                <w:szCs w:val="20"/>
                <w:u w:val="single"/>
              </w:rPr>
              <w:t>initiatives</w:t>
            </w:r>
            <w:r w:rsidRPr="00C61147" w:rsidDel="003B5C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ensure proper linkages. Members of the </w:t>
            </w:r>
            <w:proofErr w:type="spellStart"/>
            <w:r>
              <w:rPr>
                <w:sz w:val="20"/>
                <w:szCs w:val="20"/>
              </w:rPr>
              <w:t>workstream</w:t>
            </w:r>
            <w:proofErr w:type="spellEnd"/>
            <w:r>
              <w:rPr>
                <w:sz w:val="20"/>
                <w:szCs w:val="20"/>
              </w:rPr>
              <w:t xml:space="preserve"> who also attend other </w:t>
            </w:r>
            <w:proofErr w:type="spellStart"/>
            <w:r>
              <w:rPr>
                <w:sz w:val="20"/>
                <w:szCs w:val="20"/>
              </w:rPr>
              <w:t>workstreams</w:t>
            </w:r>
            <w:proofErr w:type="spellEnd"/>
            <w:r>
              <w:rPr>
                <w:sz w:val="20"/>
                <w:szCs w:val="20"/>
              </w:rPr>
              <w:t xml:space="preserve"> asked to share information about activities of other </w:t>
            </w:r>
            <w:proofErr w:type="spellStart"/>
            <w:r>
              <w:rPr>
                <w:sz w:val="20"/>
                <w:szCs w:val="20"/>
              </w:rPr>
              <w:t>workstreams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AF4DE5E" w14:textId="77777777" w:rsidR="00FE6B83" w:rsidRPr="000412B0" w:rsidRDefault="00FE6B83" w:rsidP="000412B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F037ED7" w14:textId="5AE43B41" w:rsidR="00FE6B83" w:rsidRDefault="00FE6B83" w:rsidP="005A5218">
            <w:pPr>
              <w:rPr>
                <w:sz w:val="20"/>
                <w:szCs w:val="20"/>
              </w:rPr>
            </w:pPr>
            <w:r w:rsidRPr="008F488D">
              <w:rPr>
                <w:sz w:val="20"/>
                <w:szCs w:val="20"/>
              </w:rPr>
              <w:t>Co-conveners – with</w:t>
            </w:r>
            <w:r>
              <w:rPr>
                <w:sz w:val="20"/>
                <w:szCs w:val="20"/>
              </w:rPr>
              <w:t xml:space="preserve"> CAFOD, CARE</w:t>
            </w:r>
            <w:r w:rsidR="00397085">
              <w:rPr>
                <w:sz w:val="20"/>
                <w:szCs w:val="20"/>
              </w:rPr>
              <w:t xml:space="preserve"> (gender focus)</w:t>
            </w:r>
            <w:bookmarkStart w:id="0" w:name="_GoBack"/>
            <w:bookmarkEnd w:id="0"/>
            <w:r>
              <w:rPr>
                <w:sz w:val="20"/>
                <w:szCs w:val="20"/>
              </w:rPr>
              <w:t>, Christian Aid and OXFAM.</w:t>
            </w:r>
          </w:p>
          <w:p w14:paraId="1425A48C" w14:textId="77777777" w:rsidR="00FE6B83" w:rsidRDefault="00FE6B83" w:rsidP="005A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UNICEF and OCHA with GCCG.</w:t>
            </w:r>
          </w:p>
          <w:p w14:paraId="0326494F" w14:textId="77777777" w:rsidR="00FE6B83" w:rsidRPr="000412B0" w:rsidRDefault="00FE6B83" w:rsidP="005A52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6ED702E2" w14:textId="77777777" w:rsidR="00FE6B83" w:rsidRDefault="00FE6B83" w:rsidP="00E61B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GB work</w:t>
            </w:r>
            <w:r w:rsidR="008F488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streams.</w:t>
            </w:r>
          </w:p>
          <w:p w14:paraId="4996983B" w14:textId="77777777" w:rsidR="00FE6B83" w:rsidRPr="008F488D" w:rsidRDefault="00FE6B83" w:rsidP="008F488D">
            <w:pPr>
              <w:rPr>
                <w:sz w:val="20"/>
                <w:szCs w:val="20"/>
              </w:rPr>
            </w:pPr>
            <w:r w:rsidRPr="00F53B3D">
              <w:rPr>
                <w:b/>
                <w:sz w:val="20"/>
                <w:szCs w:val="20"/>
                <w:lang w:val="en-US"/>
              </w:rPr>
              <w:t>GCCG</w:t>
            </w:r>
            <w:r>
              <w:rPr>
                <w:sz w:val="20"/>
                <w:szCs w:val="20"/>
                <w:lang w:val="en-US"/>
              </w:rPr>
              <w:t xml:space="preserve"> and clusters.</w:t>
            </w:r>
            <w:r w:rsidR="008F488D">
              <w:rPr>
                <w:sz w:val="20"/>
                <w:szCs w:val="20"/>
                <w:lang w:val="en-US"/>
              </w:rPr>
              <w:t xml:space="preserve"> </w:t>
            </w:r>
            <w:r w:rsidRPr="008F488D">
              <w:rPr>
                <w:sz w:val="20"/>
                <w:szCs w:val="20"/>
              </w:rPr>
              <w:t xml:space="preserve">IASC, Charter 4 Change, </w:t>
            </w:r>
            <w:r w:rsidR="008F488D">
              <w:rPr>
                <w:b/>
                <w:sz w:val="20"/>
                <w:szCs w:val="20"/>
              </w:rPr>
              <w:t>GHD.</w:t>
            </w:r>
          </w:p>
        </w:tc>
        <w:tc>
          <w:tcPr>
            <w:tcW w:w="1417" w:type="dxa"/>
            <w:shd w:val="clear" w:color="auto" w:fill="auto"/>
          </w:tcPr>
          <w:p w14:paraId="315AF137" w14:textId="77777777" w:rsidR="00FE6B83" w:rsidRPr="00BA2D81" w:rsidRDefault="00FE6B83" w:rsidP="00BA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November 2017</w:t>
            </w:r>
          </w:p>
        </w:tc>
      </w:tr>
      <w:tr w:rsidR="00FE6B83" w:rsidRPr="00C61147" w14:paraId="689514C4" w14:textId="77777777" w:rsidTr="00FE6B83">
        <w:trPr>
          <w:trHeight w:val="1974"/>
        </w:trPr>
        <w:tc>
          <w:tcPr>
            <w:tcW w:w="2018" w:type="dxa"/>
            <w:vMerge/>
          </w:tcPr>
          <w:p w14:paraId="46D03B3F" w14:textId="77777777" w:rsidR="00FE6B83" w:rsidRPr="00C61147" w:rsidRDefault="00FE6B83" w:rsidP="001A0569">
            <w:pPr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FFFFFF" w:themeFill="background1"/>
          </w:tcPr>
          <w:p w14:paraId="3D7DAF76" w14:textId="77777777" w:rsidR="00FE6B83" w:rsidRDefault="00FE6B83" w:rsidP="005A52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 xml:space="preserve">Promote more </w:t>
            </w:r>
            <w:r w:rsidRPr="00C61147">
              <w:rPr>
                <w:sz w:val="20"/>
                <w:szCs w:val="20"/>
                <w:u w:val="single"/>
              </w:rPr>
              <w:t xml:space="preserve">information-sharing </w:t>
            </w:r>
            <w:r w:rsidRPr="00C61147">
              <w:rPr>
                <w:sz w:val="20"/>
                <w:szCs w:val="20"/>
              </w:rPr>
              <w:t>and engagement between signatories and with local actors,</w:t>
            </w:r>
            <w:r>
              <w:rPr>
                <w:sz w:val="20"/>
                <w:szCs w:val="20"/>
              </w:rPr>
              <w:t xml:space="preserve"> highlighting progress, good practice and learning</w:t>
            </w:r>
            <w:r w:rsidRPr="00C61147">
              <w:rPr>
                <w:sz w:val="20"/>
                <w:szCs w:val="20"/>
              </w:rPr>
              <w:t xml:space="preserve"> including through:</w:t>
            </w:r>
          </w:p>
          <w:p w14:paraId="19C117F6" w14:textId="77777777" w:rsidR="00FE6B83" w:rsidRPr="00BA2D81" w:rsidRDefault="00FE6B83" w:rsidP="006D1CF8">
            <w:pPr>
              <w:pStyle w:val="ListParagraph"/>
              <w:numPr>
                <w:ilvl w:val="1"/>
                <w:numId w:val="1"/>
              </w:numPr>
              <w:ind w:left="709"/>
              <w:rPr>
                <w:sz w:val="20"/>
                <w:szCs w:val="20"/>
              </w:rPr>
            </w:pPr>
            <w:r w:rsidRPr="00BA2D81">
              <w:rPr>
                <w:sz w:val="20"/>
                <w:szCs w:val="20"/>
              </w:rPr>
              <w:t>a bi-monthly email bulletin,</w:t>
            </w:r>
          </w:p>
          <w:p w14:paraId="1FC106E5" w14:textId="77777777" w:rsidR="00FE6B83" w:rsidRPr="00BA2D81" w:rsidRDefault="00FE6B83" w:rsidP="006D1CF8">
            <w:pPr>
              <w:pStyle w:val="ListParagraph"/>
              <w:numPr>
                <w:ilvl w:val="1"/>
                <w:numId w:val="1"/>
              </w:num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translating and </w:t>
            </w:r>
            <w:r w:rsidRPr="00BA2D81">
              <w:rPr>
                <w:sz w:val="20"/>
                <w:szCs w:val="20"/>
              </w:rPr>
              <w:t xml:space="preserve">loading key documents on the localization </w:t>
            </w:r>
            <w:proofErr w:type="spellStart"/>
            <w:r w:rsidRPr="00BA2D81">
              <w:rPr>
                <w:sz w:val="20"/>
                <w:szCs w:val="20"/>
              </w:rPr>
              <w:t>workstream</w:t>
            </w:r>
            <w:proofErr w:type="spellEnd"/>
            <w:r w:rsidRPr="00BA2D81">
              <w:rPr>
                <w:sz w:val="20"/>
                <w:szCs w:val="20"/>
              </w:rPr>
              <w:t xml:space="preserve"> page of the GB website</w:t>
            </w:r>
          </w:p>
          <w:p w14:paraId="4B324074" w14:textId="77777777" w:rsidR="00FE6B83" w:rsidRPr="00FE6B83" w:rsidRDefault="00FE6B83" w:rsidP="00FE6B83">
            <w:pPr>
              <w:pStyle w:val="ListParagraph"/>
              <w:numPr>
                <w:ilvl w:val="1"/>
                <w:numId w:val="1"/>
              </w:numPr>
              <w:ind w:left="709"/>
              <w:rPr>
                <w:sz w:val="20"/>
                <w:szCs w:val="20"/>
              </w:rPr>
            </w:pPr>
            <w:proofErr w:type="gramStart"/>
            <w:r w:rsidRPr="00BA2D81">
              <w:rPr>
                <w:sz w:val="20"/>
                <w:szCs w:val="20"/>
              </w:rPr>
              <w:t>developing</w:t>
            </w:r>
            <w:proofErr w:type="gramEnd"/>
            <w:r w:rsidRPr="00BA2D81">
              <w:rPr>
                <w:sz w:val="20"/>
                <w:szCs w:val="20"/>
              </w:rPr>
              <w:t xml:space="preserve"> orientation materials</w:t>
            </w:r>
            <w:r>
              <w:rPr>
                <w:sz w:val="20"/>
                <w:szCs w:val="20"/>
              </w:rPr>
              <w:t xml:space="preserve"> for local actors.</w:t>
            </w:r>
          </w:p>
        </w:tc>
        <w:tc>
          <w:tcPr>
            <w:tcW w:w="2835" w:type="dxa"/>
            <w:shd w:val="clear" w:color="auto" w:fill="auto"/>
          </w:tcPr>
          <w:p w14:paraId="61DF83FF" w14:textId="77777777" w:rsidR="00FE6B83" w:rsidRPr="001F5BC3" w:rsidRDefault="00FE6B83" w:rsidP="001F5BC3">
            <w:pPr>
              <w:pStyle w:val="ListParagraph"/>
              <w:numPr>
                <w:ilvl w:val="1"/>
                <w:numId w:val="1"/>
              </w:numPr>
              <w:ind w:left="291" w:hanging="274"/>
              <w:rPr>
                <w:sz w:val="20"/>
                <w:szCs w:val="20"/>
              </w:rPr>
            </w:pPr>
            <w:r w:rsidRPr="001F5BC3">
              <w:rPr>
                <w:sz w:val="20"/>
                <w:szCs w:val="20"/>
              </w:rPr>
              <w:t xml:space="preserve">Co-conveners (with support from </w:t>
            </w:r>
            <w:r>
              <w:rPr>
                <w:sz w:val="20"/>
                <w:szCs w:val="20"/>
              </w:rPr>
              <w:t>Humanitarian Leadership Academy (</w:t>
            </w:r>
            <w:r w:rsidRPr="001F5BC3">
              <w:rPr>
                <w:sz w:val="20"/>
                <w:szCs w:val="20"/>
              </w:rPr>
              <w:t>HLA</w:t>
            </w:r>
            <w:r>
              <w:rPr>
                <w:sz w:val="20"/>
                <w:szCs w:val="20"/>
              </w:rPr>
              <w:t>)</w:t>
            </w:r>
            <w:r w:rsidRPr="001F5BC3">
              <w:rPr>
                <w:sz w:val="20"/>
                <w:szCs w:val="20"/>
              </w:rPr>
              <w:t>)</w:t>
            </w:r>
          </w:p>
          <w:p w14:paraId="7CDEFA48" w14:textId="77777777" w:rsidR="00B0444C" w:rsidRDefault="00FE6B83" w:rsidP="00B0444C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ind w:left="291" w:hanging="274"/>
              <w:rPr>
                <w:sz w:val="20"/>
                <w:szCs w:val="20"/>
              </w:rPr>
            </w:pPr>
            <w:r w:rsidRPr="00B0444C">
              <w:rPr>
                <w:sz w:val="20"/>
                <w:szCs w:val="20"/>
              </w:rPr>
              <w:t>IFRC</w:t>
            </w:r>
          </w:p>
          <w:p w14:paraId="2B887640" w14:textId="11349AA3" w:rsidR="00FE6B83" w:rsidRPr="00B0444C" w:rsidRDefault="00FE6B83" w:rsidP="00B0444C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ind w:left="291" w:hanging="274"/>
              <w:rPr>
                <w:sz w:val="20"/>
                <w:szCs w:val="20"/>
              </w:rPr>
            </w:pPr>
            <w:r w:rsidRPr="00B0444C">
              <w:rPr>
                <w:sz w:val="20"/>
                <w:szCs w:val="20"/>
              </w:rPr>
              <w:t>HLA and Oxfam</w:t>
            </w:r>
          </w:p>
          <w:p w14:paraId="2D2D4533" w14:textId="77777777" w:rsidR="00FE6B83" w:rsidRPr="00303EC9" w:rsidRDefault="00FE6B83" w:rsidP="00CA02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3CC48819" w14:textId="77777777" w:rsidR="00FE6B83" w:rsidRDefault="00FE6B83" w:rsidP="00F5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Charter 4 Change endorsers, VOICE Grand Bargain Taskforce</w:t>
            </w:r>
          </w:p>
        </w:tc>
        <w:tc>
          <w:tcPr>
            <w:tcW w:w="1417" w:type="dxa"/>
            <w:shd w:val="clear" w:color="auto" w:fill="auto"/>
          </w:tcPr>
          <w:p w14:paraId="5AA6075D" w14:textId="77777777" w:rsidR="00FE6B83" w:rsidRDefault="00FE6B83" w:rsidP="003B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October 2017</w:t>
            </w:r>
          </w:p>
          <w:p w14:paraId="2E756449" w14:textId="77777777" w:rsidR="00FE6B83" w:rsidRPr="00C61147" w:rsidRDefault="00FE6B83" w:rsidP="00934848">
            <w:pPr>
              <w:rPr>
                <w:sz w:val="20"/>
                <w:szCs w:val="20"/>
              </w:rPr>
            </w:pPr>
          </w:p>
        </w:tc>
      </w:tr>
      <w:tr w:rsidR="00FE6B83" w:rsidRPr="00C61147" w14:paraId="54B398DF" w14:textId="77777777" w:rsidTr="00FE6B83">
        <w:tc>
          <w:tcPr>
            <w:tcW w:w="2018" w:type="dxa"/>
            <w:vMerge/>
          </w:tcPr>
          <w:p w14:paraId="3A4A91A6" w14:textId="77777777" w:rsidR="00FE6B83" w:rsidRPr="00C61147" w:rsidRDefault="00FE6B83" w:rsidP="000D3C9C">
            <w:pPr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FFFFFF" w:themeFill="background1"/>
          </w:tcPr>
          <w:p w14:paraId="59C25D1A" w14:textId="77777777" w:rsidR="00FE6B83" w:rsidRPr="00C61147" w:rsidRDefault="00FE6B83" w:rsidP="000D3C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 xml:space="preserve">Organize </w:t>
            </w:r>
            <w:r w:rsidRPr="00860C41">
              <w:rPr>
                <w:sz w:val="20"/>
                <w:szCs w:val="20"/>
                <w:u w:val="single"/>
              </w:rPr>
              <w:t>3 in-person</w:t>
            </w:r>
            <w:r>
              <w:rPr>
                <w:sz w:val="20"/>
                <w:szCs w:val="20"/>
              </w:rPr>
              <w:t xml:space="preserve"> </w:t>
            </w:r>
            <w:r w:rsidRPr="00C61147">
              <w:rPr>
                <w:sz w:val="20"/>
                <w:szCs w:val="20"/>
                <w:u w:val="single"/>
              </w:rPr>
              <w:t>regional meetings</w:t>
            </w:r>
            <w:r w:rsidRPr="00C61147">
              <w:rPr>
                <w:sz w:val="20"/>
                <w:szCs w:val="20"/>
              </w:rPr>
              <w:t xml:space="preserve"> to widen engagement, discuss regional particularities and lessons, and consult on guidance products (described below)</w:t>
            </w:r>
          </w:p>
        </w:tc>
        <w:tc>
          <w:tcPr>
            <w:tcW w:w="2835" w:type="dxa"/>
            <w:shd w:val="clear" w:color="auto" w:fill="auto"/>
          </w:tcPr>
          <w:p w14:paraId="107A9972" w14:textId="77777777" w:rsidR="00FE6B83" w:rsidRPr="00C61147" w:rsidRDefault="00FE6B83" w:rsidP="000D3C9C">
            <w:p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>Co-</w:t>
            </w:r>
            <w:r w:rsidRPr="00B0444C">
              <w:rPr>
                <w:sz w:val="20"/>
                <w:szCs w:val="20"/>
              </w:rPr>
              <w:t>conveners (with support from signatories present in regions)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A5D6C93" w14:textId="77777777" w:rsidR="00FE6B83" w:rsidRDefault="00FE6B83" w:rsidP="000D3C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1B2C26" w14:textId="77777777" w:rsidR="00FE6B83" w:rsidRPr="00BA2D81" w:rsidRDefault="00FE6B83" w:rsidP="000D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2018 - August 2019</w:t>
            </w:r>
          </w:p>
          <w:p w14:paraId="1679AB76" w14:textId="77777777" w:rsidR="00FE6B83" w:rsidRPr="00C61147" w:rsidRDefault="00FE6B83" w:rsidP="000D3C9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FE6B83" w:rsidRPr="00C61147" w14:paraId="149DF158" w14:textId="77777777" w:rsidTr="00FE6B83">
        <w:tc>
          <w:tcPr>
            <w:tcW w:w="2018" w:type="dxa"/>
            <w:vMerge/>
          </w:tcPr>
          <w:p w14:paraId="08FC7609" w14:textId="77777777" w:rsidR="00FE6B83" w:rsidRPr="00C61147" w:rsidRDefault="00FE6B83" w:rsidP="000D3C9C">
            <w:pPr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FFFFFF" w:themeFill="background1"/>
          </w:tcPr>
          <w:p w14:paraId="5848F4A2" w14:textId="77777777" w:rsidR="00FE6B83" w:rsidRPr="00E61B90" w:rsidRDefault="00FE6B83" w:rsidP="000D3C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 an </w:t>
            </w:r>
            <w:r w:rsidRPr="008F488D">
              <w:rPr>
                <w:sz w:val="20"/>
                <w:szCs w:val="20"/>
                <w:u w:val="single"/>
              </w:rPr>
              <w:t>in-person meeting</w:t>
            </w:r>
            <w:r>
              <w:rPr>
                <w:sz w:val="20"/>
                <w:szCs w:val="20"/>
              </w:rPr>
              <w:t xml:space="preserve"> in Brussels in 2018 and another in 2019 (location TBD) to </w:t>
            </w:r>
            <w:r w:rsidRPr="008F488D">
              <w:rPr>
                <w:sz w:val="20"/>
                <w:szCs w:val="20"/>
                <w:u w:val="single"/>
              </w:rPr>
              <w:t>consolidate and finalize guidance</w:t>
            </w:r>
            <w:r>
              <w:rPr>
                <w:sz w:val="20"/>
                <w:szCs w:val="20"/>
              </w:rPr>
              <w:t xml:space="preserve"> products.</w:t>
            </w:r>
          </w:p>
        </w:tc>
        <w:tc>
          <w:tcPr>
            <w:tcW w:w="2835" w:type="dxa"/>
            <w:shd w:val="clear" w:color="auto" w:fill="auto"/>
          </w:tcPr>
          <w:p w14:paraId="01DDE1FE" w14:textId="77777777" w:rsidR="00FE6B83" w:rsidRPr="00BA2D81" w:rsidRDefault="00FE6B83" w:rsidP="000D3C9C">
            <w:pPr>
              <w:rPr>
                <w:b/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>Co-conveners</w:t>
            </w:r>
            <w:r>
              <w:rPr>
                <w:sz w:val="20"/>
                <w:szCs w:val="20"/>
              </w:rPr>
              <w:t xml:space="preserve"> with support from ECHO on organizational aspects</w:t>
            </w:r>
          </w:p>
        </w:tc>
        <w:tc>
          <w:tcPr>
            <w:tcW w:w="1560" w:type="dxa"/>
          </w:tcPr>
          <w:p w14:paraId="38337968" w14:textId="77777777" w:rsidR="00FE6B83" w:rsidRDefault="00FE6B83" w:rsidP="000D3C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C5641A" w14:textId="77777777" w:rsidR="00FE6B83" w:rsidRPr="00BA2D81" w:rsidDel="00146695" w:rsidRDefault="00FE6B83" w:rsidP="000D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 2018 and late </w:t>
            </w:r>
            <w:r w:rsidRPr="00BA2D81">
              <w:rPr>
                <w:sz w:val="20"/>
                <w:szCs w:val="20"/>
              </w:rPr>
              <w:t>2019</w:t>
            </w:r>
          </w:p>
        </w:tc>
      </w:tr>
      <w:tr w:rsidR="00FE6B83" w:rsidRPr="00C61147" w14:paraId="15448000" w14:textId="77777777" w:rsidTr="00FE6B83">
        <w:trPr>
          <w:trHeight w:val="1498"/>
        </w:trPr>
        <w:tc>
          <w:tcPr>
            <w:tcW w:w="2018" w:type="dxa"/>
            <w:vMerge w:val="restart"/>
          </w:tcPr>
          <w:p w14:paraId="0A4083C8" w14:textId="77777777" w:rsidR="00FE6B83" w:rsidRPr="00C61147" w:rsidRDefault="00FE6B83" w:rsidP="000D3C9C">
            <w:pPr>
              <w:rPr>
                <w:b/>
                <w:sz w:val="20"/>
                <w:szCs w:val="20"/>
              </w:rPr>
            </w:pPr>
            <w:r w:rsidRPr="00C61147">
              <w:rPr>
                <w:b/>
                <w:sz w:val="20"/>
                <w:szCs w:val="20"/>
              </w:rPr>
              <w:t>Country-level activities</w:t>
            </w:r>
          </w:p>
          <w:p w14:paraId="680C35B8" w14:textId="77777777" w:rsidR="00FE6B83" w:rsidRPr="00C61147" w:rsidRDefault="00FE6B83" w:rsidP="000D3C9C">
            <w:pPr>
              <w:rPr>
                <w:i/>
                <w:sz w:val="20"/>
                <w:szCs w:val="20"/>
              </w:rPr>
            </w:pPr>
            <w:r w:rsidRPr="00C61147">
              <w:rPr>
                <w:i/>
                <w:sz w:val="20"/>
                <w:szCs w:val="20"/>
              </w:rPr>
              <w:t xml:space="preserve">Demonstrate potential for improvements through cooperative activities in selected pilot countries. </w:t>
            </w:r>
          </w:p>
          <w:p w14:paraId="3775B82C" w14:textId="77777777" w:rsidR="00FE6B83" w:rsidRPr="00C61147" w:rsidRDefault="00FE6B83" w:rsidP="000D3C9C">
            <w:pPr>
              <w:rPr>
                <w:b/>
                <w:sz w:val="20"/>
                <w:szCs w:val="20"/>
              </w:rPr>
            </w:pPr>
          </w:p>
          <w:p w14:paraId="3A275224" w14:textId="77777777" w:rsidR="00FE6B83" w:rsidRPr="00C61147" w:rsidRDefault="00FE6B83" w:rsidP="000D3C9C">
            <w:pPr>
              <w:rPr>
                <w:b/>
                <w:sz w:val="20"/>
                <w:szCs w:val="20"/>
              </w:rPr>
            </w:pPr>
          </w:p>
          <w:p w14:paraId="118706F9" w14:textId="77777777" w:rsidR="00FE6B83" w:rsidRPr="00C61147" w:rsidRDefault="00FE6B83" w:rsidP="000D3C9C">
            <w:pPr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FFFFFF" w:themeFill="background1"/>
          </w:tcPr>
          <w:p w14:paraId="04233469" w14:textId="77777777" w:rsidR="00FE6B83" w:rsidRPr="00C61147" w:rsidRDefault="00FE6B83" w:rsidP="000D3C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 xml:space="preserve">Organize </w:t>
            </w:r>
            <w:r w:rsidRPr="008F488D">
              <w:rPr>
                <w:sz w:val="20"/>
                <w:szCs w:val="20"/>
                <w:u w:val="single"/>
              </w:rPr>
              <w:t>3-4 joint missions</w:t>
            </w:r>
            <w:r w:rsidRPr="00C61147">
              <w:rPr>
                <w:sz w:val="20"/>
                <w:szCs w:val="20"/>
              </w:rPr>
              <w:t xml:space="preserve"> by GB signatories and local actors to </w:t>
            </w:r>
            <w:r>
              <w:rPr>
                <w:sz w:val="20"/>
                <w:szCs w:val="20"/>
                <w:u w:val="single"/>
              </w:rPr>
              <w:t>3</w:t>
            </w:r>
            <w:r w:rsidRPr="00BA2D8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demonstrator</w:t>
            </w:r>
            <w:r w:rsidRPr="00BA2D81">
              <w:rPr>
                <w:sz w:val="20"/>
                <w:szCs w:val="20"/>
                <w:u w:val="single"/>
              </w:rPr>
              <w:t xml:space="preserve"> countries</w:t>
            </w:r>
            <w:r w:rsidRPr="00C61147">
              <w:rPr>
                <w:sz w:val="20"/>
                <w:szCs w:val="20"/>
              </w:rPr>
              <w:t xml:space="preserve"> (to be selected by GB signatories) to:</w:t>
            </w:r>
          </w:p>
          <w:p w14:paraId="559E4B3A" w14:textId="77777777" w:rsidR="00FE6B83" w:rsidRDefault="00FE6B83" w:rsidP="000D3C9C">
            <w:pPr>
              <w:pStyle w:val="ListParagraph"/>
              <w:numPr>
                <w:ilvl w:val="1"/>
                <w:numId w:val="6"/>
              </w:numPr>
              <w:ind w:left="709"/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>Explore the current situation of financing, capacity strengthening, partnership, coordination</w:t>
            </w:r>
            <w:r>
              <w:rPr>
                <w:sz w:val="20"/>
                <w:szCs w:val="20"/>
              </w:rPr>
              <w:t xml:space="preserve"> (including in clusters, HCTs and NGO platforms), leadership</w:t>
            </w:r>
          </w:p>
          <w:p w14:paraId="34B8DAEB" w14:textId="77777777" w:rsidR="00FE6B83" w:rsidRDefault="00FE6B83" w:rsidP="000D3C9C">
            <w:pPr>
              <w:pStyle w:val="ListParagraph"/>
              <w:numPr>
                <w:ilvl w:val="1"/>
                <w:numId w:val="6"/>
              </w:numPr>
              <w:ind w:left="709"/>
              <w:rPr>
                <w:sz w:val="20"/>
                <w:szCs w:val="20"/>
              </w:rPr>
            </w:pPr>
            <w:r w:rsidRPr="00BA2D81">
              <w:rPr>
                <w:sz w:val="20"/>
                <w:szCs w:val="20"/>
              </w:rPr>
              <w:t>Support discussions at the country level about potential improvements along the lines of the GB</w:t>
            </w:r>
            <w:r>
              <w:rPr>
                <w:sz w:val="20"/>
                <w:szCs w:val="20"/>
              </w:rPr>
              <w:t xml:space="preserve"> localization commitments</w:t>
            </w:r>
          </w:p>
          <w:p w14:paraId="32B343F6" w14:textId="77777777" w:rsidR="00FE6B83" w:rsidRDefault="00FE6B83" w:rsidP="000D3C9C">
            <w:pPr>
              <w:pStyle w:val="ListParagraph"/>
              <w:numPr>
                <w:ilvl w:val="1"/>
                <w:numId w:val="6"/>
              </w:num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Devote attention to how gender issues are impacted by localization</w:t>
            </w:r>
          </w:p>
          <w:p w14:paraId="2242FEFF" w14:textId="77777777" w:rsidR="00FE6B83" w:rsidRPr="00E61B90" w:rsidRDefault="00FE6B83" w:rsidP="000D3C9C">
            <w:pPr>
              <w:pStyle w:val="ListParagraph"/>
              <w:numPr>
                <w:ilvl w:val="1"/>
                <w:numId w:val="6"/>
              </w:num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Findings will contribute to shared guidance (below)</w:t>
            </w:r>
          </w:p>
        </w:tc>
        <w:tc>
          <w:tcPr>
            <w:tcW w:w="2835" w:type="dxa"/>
            <w:shd w:val="clear" w:color="auto" w:fill="auto"/>
          </w:tcPr>
          <w:p w14:paraId="7F3D532D" w14:textId="77777777" w:rsidR="00FE6B83" w:rsidRPr="00C61147" w:rsidRDefault="00FE6B83" w:rsidP="000D3C9C">
            <w:p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 xml:space="preserve">Co-conveners </w:t>
            </w:r>
            <w:r>
              <w:rPr>
                <w:sz w:val="20"/>
                <w:szCs w:val="20"/>
              </w:rPr>
              <w:t>with support from OCHA, UNICEF and interested signatories from each of the main stakeholder groups</w:t>
            </w:r>
          </w:p>
          <w:p w14:paraId="6EACDDAE" w14:textId="77777777" w:rsidR="00FE6B83" w:rsidRPr="00C61147" w:rsidRDefault="00FE6B83" w:rsidP="000D3C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8C1519F" w14:textId="77777777" w:rsidR="00FE6B83" w:rsidRPr="00BA2D81" w:rsidRDefault="00FE6B83" w:rsidP="000D3C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6532E1" w14:textId="77777777" w:rsidR="00FE6B83" w:rsidRPr="00BA2D81" w:rsidRDefault="00FE6B83" w:rsidP="000D3C9C">
            <w:pPr>
              <w:rPr>
                <w:sz w:val="20"/>
                <w:szCs w:val="20"/>
              </w:rPr>
            </w:pPr>
            <w:r w:rsidRPr="00BA2D81">
              <w:rPr>
                <w:sz w:val="20"/>
                <w:szCs w:val="20"/>
              </w:rPr>
              <w:t>Throughout 2018</w:t>
            </w:r>
            <w:r w:rsidR="00AE6810">
              <w:rPr>
                <w:sz w:val="20"/>
                <w:szCs w:val="20"/>
              </w:rPr>
              <w:t xml:space="preserve"> and early 2019</w:t>
            </w:r>
          </w:p>
          <w:p w14:paraId="645DADCA" w14:textId="77777777" w:rsidR="00FE6B83" w:rsidRPr="00C61147" w:rsidRDefault="00FE6B83" w:rsidP="000D3C9C">
            <w:pPr>
              <w:rPr>
                <w:sz w:val="20"/>
                <w:szCs w:val="20"/>
              </w:rPr>
            </w:pPr>
          </w:p>
          <w:p w14:paraId="78E1063B" w14:textId="77777777" w:rsidR="00FE6B83" w:rsidRPr="00C61147" w:rsidRDefault="00FE6B83" w:rsidP="000D3C9C">
            <w:pPr>
              <w:rPr>
                <w:sz w:val="20"/>
                <w:szCs w:val="20"/>
              </w:rPr>
            </w:pPr>
          </w:p>
          <w:p w14:paraId="6BB8FC31" w14:textId="77777777" w:rsidR="00FE6B83" w:rsidRPr="00C61147" w:rsidRDefault="00FE6B83" w:rsidP="000D3C9C">
            <w:pPr>
              <w:rPr>
                <w:sz w:val="20"/>
                <w:szCs w:val="20"/>
              </w:rPr>
            </w:pPr>
          </w:p>
          <w:p w14:paraId="32AFE042" w14:textId="77777777" w:rsidR="00FE6B83" w:rsidRPr="00C61147" w:rsidRDefault="00FE6B83" w:rsidP="000D3C9C">
            <w:pPr>
              <w:rPr>
                <w:sz w:val="20"/>
                <w:szCs w:val="20"/>
              </w:rPr>
            </w:pPr>
          </w:p>
          <w:p w14:paraId="203B1294" w14:textId="77777777" w:rsidR="00FE6B83" w:rsidRPr="00C61147" w:rsidRDefault="00FE6B83" w:rsidP="000D3C9C">
            <w:pPr>
              <w:rPr>
                <w:sz w:val="20"/>
                <w:szCs w:val="20"/>
              </w:rPr>
            </w:pPr>
          </w:p>
        </w:tc>
      </w:tr>
      <w:tr w:rsidR="00FE6B83" w:rsidRPr="00C61147" w14:paraId="4306A220" w14:textId="77777777" w:rsidTr="00FE6B83">
        <w:tc>
          <w:tcPr>
            <w:tcW w:w="2018" w:type="dxa"/>
            <w:vMerge/>
          </w:tcPr>
          <w:p w14:paraId="7FEF375E" w14:textId="77777777" w:rsidR="00FE6B83" w:rsidRPr="00C61147" w:rsidRDefault="00FE6B83" w:rsidP="000D3C9C">
            <w:pPr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auto"/>
          </w:tcPr>
          <w:p w14:paraId="172C1A45" w14:textId="77777777" w:rsidR="00FE6B83" w:rsidRPr="00545373" w:rsidRDefault="00FE6B83" w:rsidP="005453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they don’t exist, support</w:t>
            </w:r>
            <w:r w:rsidRPr="00C61147">
              <w:rPr>
                <w:sz w:val="20"/>
                <w:szCs w:val="20"/>
              </w:rPr>
              <w:t xml:space="preserve"> the development</w:t>
            </w:r>
            <w:r>
              <w:rPr>
                <w:sz w:val="20"/>
                <w:szCs w:val="20"/>
              </w:rPr>
              <w:t xml:space="preserve"> of</w:t>
            </w:r>
            <w:r w:rsidRPr="00C61147">
              <w:rPr>
                <w:sz w:val="20"/>
                <w:szCs w:val="20"/>
              </w:rPr>
              <w:t xml:space="preserve"> </w:t>
            </w:r>
            <w:r w:rsidRPr="00C61147">
              <w:rPr>
                <w:sz w:val="20"/>
                <w:szCs w:val="20"/>
                <w:u w:val="single"/>
              </w:rPr>
              <w:t>country-based</w:t>
            </w:r>
            <w:r>
              <w:rPr>
                <w:sz w:val="20"/>
                <w:szCs w:val="20"/>
                <w:u w:val="single"/>
              </w:rPr>
              <w:t xml:space="preserve"> national NGO</w:t>
            </w:r>
            <w:r w:rsidRPr="00C6114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local actor </w:t>
            </w:r>
            <w:r w:rsidRPr="00C61147">
              <w:rPr>
                <w:sz w:val="20"/>
                <w:szCs w:val="20"/>
                <w:u w:val="single"/>
              </w:rPr>
              <w:t>coordination forums</w:t>
            </w:r>
            <w:r>
              <w:rPr>
                <w:sz w:val="20"/>
                <w:szCs w:val="20"/>
                <w:u w:val="single"/>
              </w:rPr>
              <w:t>, coalitions and networks.</w:t>
            </w:r>
          </w:p>
          <w:p w14:paraId="11F88C21" w14:textId="77777777" w:rsidR="00FE6B83" w:rsidRDefault="00FE6B83" w:rsidP="000D3C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61147">
              <w:rPr>
                <w:sz w:val="20"/>
                <w:szCs w:val="20"/>
              </w:rPr>
              <w:t xml:space="preserve">upport national </w:t>
            </w:r>
            <w:r>
              <w:rPr>
                <w:sz w:val="20"/>
                <w:szCs w:val="20"/>
              </w:rPr>
              <w:t xml:space="preserve">coordination forums, </w:t>
            </w:r>
            <w:r w:rsidRPr="000412B0">
              <w:rPr>
                <w:sz w:val="20"/>
                <w:szCs w:val="20"/>
              </w:rPr>
              <w:t>coalitions/networks</w:t>
            </w:r>
            <w:r w:rsidRPr="00C61147">
              <w:rPr>
                <w:sz w:val="20"/>
                <w:szCs w:val="20"/>
              </w:rPr>
              <w:t xml:space="preserve"> of local civil society</w:t>
            </w:r>
            <w:r>
              <w:rPr>
                <w:sz w:val="20"/>
                <w:szCs w:val="20"/>
              </w:rPr>
              <w:t xml:space="preserve"> actors</w:t>
            </w:r>
            <w:r w:rsidRPr="00C61147">
              <w:rPr>
                <w:sz w:val="20"/>
                <w:szCs w:val="20"/>
              </w:rPr>
              <w:t xml:space="preserve"> to address issues in the </w:t>
            </w:r>
            <w:proofErr w:type="spellStart"/>
            <w:r w:rsidRPr="00C61147">
              <w:rPr>
                <w:sz w:val="20"/>
                <w:szCs w:val="20"/>
              </w:rPr>
              <w:t>workstream</w:t>
            </w:r>
            <w:proofErr w:type="spellEnd"/>
            <w:r w:rsidRPr="00C61147">
              <w:rPr>
                <w:sz w:val="20"/>
                <w:szCs w:val="20"/>
              </w:rPr>
              <w:t xml:space="preserve"> (and in the GB). </w:t>
            </w:r>
          </w:p>
          <w:p w14:paraId="07249746" w14:textId="77777777" w:rsidR="00FE6B83" w:rsidRPr="00545373" w:rsidRDefault="00FE6B83" w:rsidP="005453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Including, in</w:t>
            </w:r>
            <w:r w:rsidRPr="000412B0">
              <w:rPr>
                <w:sz w:val="20"/>
                <w:szCs w:val="20"/>
              </w:rPr>
              <w:t xml:space="preserve"> Nigeria, </w:t>
            </w:r>
            <w:r>
              <w:rPr>
                <w:sz w:val="20"/>
                <w:szCs w:val="20"/>
              </w:rPr>
              <w:t xml:space="preserve">Nepal, Myanmar, </w:t>
            </w:r>
            <w:r w:rsidRPr="000412B0">
              <w:rPr>
                <w:sz w:val="20"/>
                <w:szCs w:val="20"/>
              </w:rPr>
              <w:t>South Sudan, Myanmar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1CBFE45" w14:textId="69B375D4" w:rsidR="00FE6B83" w:rsidRDefault="00397085" w:rsidP="00C6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ICVA, Christian Aid and Accelerating Localization project agencies, </w:t>
            </w:r>
            <w:r w:rsidR="00FE6B83">
              <w:rPr>
                <w:sz w:val="20"/>
                <w:szCs w:val="20"/>
              </w:rPr>
              <w:t>OCHA, UNICEF</w:t>
            </w:r>
          </w:p>
          <w:p w14:paraId="29E66C7E" w14:textId="77777777" w:rsidR="00FE6B83" w:rsidRDefault="00FE6B83" w:rsidP="00C65894">
            <w:pPr>
              <w:rPr>
                <w:sz w:val="20"/>
                <w:szCs w:val="20"/>
              </w:rPr>
            </w:pPr>
          </w:p>
          <w:p w14:paraId="07DCE5EF" w14:textId="77777777" w:rsidR="00FE6B83" w:rsidRDefault="00FE6B83" w:rsidP="00C65894">
            <w:pPr>
              <w:rPr>
                <w:sz w:val="20"/>
                <w:szCs w:val="20"/>
              </w:rPr>
            </w:pPr>
          </w:p>
          <w:p w14:paraId="406DB23A" w14:textId="77777777" w:rsidR="00FE6B83" w:rsidRDefault="00FE6B83" w:rsidP="00C65894">
            <w:pPr>
              <w:rPr>
                <w:sz w:val="20"/>
                <w:szCs w:val="20"/>
              </w:rPr>
            </w:pPr>
          </w:p>
          <w:p w14:paraId="4B5B41F2" w14:textId="77777777" w:rsidR="00FE6B83" w:rsidRPr="00C61147" w:rsidRDefault="00FE6B83" w:rsidP="00C658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6FDC9D1" w14:textId="77777777" w:rsidR="00FE6B83" w:rsidRPr="00BA2D81" w:rsidRDefault="00FE6B83" w:rsidP="000D3C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3415CA" w14:textId="77777777" w:rsidR="00FE6B83" w:rsidRPr="00BA2D81" w:rsidRDefault="00FE6B83" w:rsidP="000D3C9C">
            <w:pPr>
              <w:rPr>
                <w:sz w:val="20"/>
                <w:szCs w:val="20"/>
              </w:rPr>
            </w:pPr>
            <w:r w:rsidRPr="00BA2D81">
              <w:rPr>
                <w:sz w:val="20"/>
                <w:szCs w:val="20"/>
              </w:rPr>
              <w:t>2018-2019</w:t>
            </w:r>
          </w:p>
          <w:p w14:paraId="5634CF6E" w14:textId="77777777" w:rsidR="00FE6B83" w:rsidRPr="00C61147" w:rsidRDefault="00FE6B83" w:rsidP="000D3C9C">
            <w:pPr>
              <w:rPr>
                <w:sz w:val="20"/>
                <w:szCs w:val="20"/>
              </w:rPr>
            </w:pPr>
          </w:p>
        </w:tc>
      </w:tr>
      <w:tr w:rsidR="00FE6B83" w:rsidRPr="00C61147" w14:paraId="68194282" w14:textId="77777777" w:rsidTr="00FE6B83">
        <w:trPr>
          <w:trHeight w:val="1092"/>
        </w:trPr>
        <w:tc>
          <w:tcPr>
            <w:tcW w:w="2018" w:type="dxa"/>
            <w:vMerge/>
          </w:tcPr>
          <w:p w14:paraId="7086866E" w14:textId="77777777" w:rsidR="00FE6B83" w:rsidRPr="00C61147" w:rsidRDefault="00FE6B83" w:rsidP="000D3C9C">
            <w:pPr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FFFFFF" w:themeFill="background1"/>
          </w:tcPr>
          <w:p w14:paraId="73E01DDF" w14:textId="77777777" w:rsidR="00FE6B83" w:rsidRPr="000412B0" w:rsidDel="00934848" w:rsidRDefault="00FE6B83" w:rsidP="000D3C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 xml:space="preserve">Explore the potential development of </w:t>
            </w:r>
            <w:r w:rsidRPr="00C61147">
              <w:rPr>
                <w:sz w:val="20"/>
                <w:szCs w:val="20"/>
                <w:u w:val="single"/>
              </w:rPr>
              <w:t>country-based funds</w:t>
            </w:r>
            <w:r w:rsidRPr="00C61147">
              <w:rPr>
                <w:sz w:val="20"/>
                <w:szCs w:val="20"/>
              </w:rPr>
              <w:t xml:space="preserve"> specific to investing in capacity strengthening of local actors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7E6F436" w14:textId="77777777" w:rsidR="00FE6B83" w:rsidRPr="00C61147" w:rsidRDefault="00FE6B83" w:rsidP="000D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Aid, CAFOD, OCHA, UNICEF</w:t>
            </w:r>
          </w:p>
        </w:tc>
        <w:tc>
          <w:tcPr>
            <w:tcW w:w="1560" w:type="dxa"/>
          </w:tcPr>
          <w:p w14:paraId="7233B3B9" w14:textId="77777777" w:rsidR="00FE6B83" w:rsidRPr="00AC6733" w:rsidRDefault="00FE6B83" w:rsidP="000D3C9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IASC HFTT, HLA Humanitarian Action Forum, NEAR</w:t>
            </w:r>
          </w:p>
        </w:tc>
        <w:tc>
          <w:tcPr>
            <w:tcW w:w="1417" w:type="dxa"/>
            <w:shd w:val="clear" w:color="auto" w:fill="auto"/>
          </w:tcPr>
          <w:p w14:paraId="4482C701" w14:textId="77777777" w:rsidR="00FE6B83" w:rsidRPr="00BA2D81" w:rsidRDefault="00FE6B83" w:rsidP="000D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</w:p>
        </w:tc>
      </w:tr>
      <w:tr w:rsidR="00FE6B83" w:rsidRPr="00C61147" w14:paraId="21012A74" w14:textId="77777777" w:rsidTr="00FE6B83">
        <w:trPr>
          <w:trHeight w:val="667"/>
        </w:trPr>
        <w:tc>
          <w:tcPr>
            <w:tcW w:w="2018" w:type="dxa"/>
            <w:vMerge w:val="restart"/>
          </w:tcPr>
          <w:p w14:paraId="2C196A91" w14:textId="77777777" w:rsidR="00FE6B83" w:rsidRPr="00C61147" w:rsidRDefault="00FE6B83" w:rsidP="000D3C9C">
            <w:pPr>
              <w:rPr>
                <w:b/>
                <w:sz w:val="20"/>
                <w:szCs w:val="20"/>
              </w:rPr>
            </w:pPr>
            <w:r w:rsidRPr="00C61147">
              <w:rPr>
                <w:b/>
                <w:sz w:val="20"/>
                <w:szCs w:val="20"/>
              </w:rPr>
              <w:t>Shared guidance</w:t>
            </w:r>
          </w:p>
          <w:p w14:paraId="661A0162" w14:textId="77777777" w:rsidR="00FE6B83" w:rsidRPr="00C61147" w:rsidRDefault="00FE6B83" w:rsidP="000D3C9C">
            <w:pPr>
              <w:rPr>
                <w:b/>
                <w:sz w:val="20"/>
                <w:szCs w:val="20"/>
              </w:rPr>
            </w:pPr>
            <w:r w:rsidRPr="00C61147">
              <w:rPr>
                <w:i/>
                <w:sz w:val="20"/>
                <w:szCs w:val="20"/>
              </w:rPr>
              <w:t xml:space="preserve">Share experience and research to develop </w:t>
            </w:r>
            <w:r>
              <w:rPr>
                <w:i/>
                <w:sz w:val="20"/>
                <w:szCs w:val="20"/>
              </w:rPr>
              <w:t>common</w:t>
            </w:r>
            <w:r w:rsidRPr="00C61147">
              <w:rPr>
                <w:i/>
                <w:sz w:val="20"/>
                <w:szCs w:val="20"/>
              </w:rPr>
              <w:t xml:space="preserve"> understandings of how best to achieve localization goals  </w:t>
            </w:r>
          </w:p>
        </w:tc>
        <w:tc>
          <w:tcPr>
            <w:tcW w:w="6595" w:type="dxa"/>
            <w:shd w:val="clear" w:color="auto" w:fill="FFFFFF" w:themeFill="background1"/>
          </w:tcPr>
          <w:p w14:paraId="0EB3FC19" w14:textId="77777777" w:rsidR="00FE6B83" w:rsidRPr="0029718A" w:rsidRDefault="00FE6B83" w:rsidP="000D3C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  <w:u w:val="single"/>
              </w:rPr>
              <w:t>Promote and consolidate research</w:t>
            </w:r>
            <w:r>
              <w:rPr>
                <w:sz w:val="20"/>
                <w:szCs w:val="20"/>
                <w:u w:val="single"/>
              </w:rPr>
              <w:t xml:space="preserve"> relevant to implementation of the GB localization commitments.</w:t>
            </w:r>
          </w:p>
          <w:p w14:paraId="29DB0959" w14:textId="77777777" w:rsidR="00FE6B83" w:rsidRDefault="00FE6B83" w:rsidP="0029718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>Organiz</w:t>
            </w:r>
            <w:r>
              <w:rPr>
                <w:sz w:val="20"/>
                <w:szCs w:val="20"/>
                <w:u w:val="single"/>
              </w:rPr>
              <w:t xml:space="preserve">e </w:t>
            </w:r>
            <w:r w:rsidRPr="00C61147" w:rsidDel="003B5C3A">
              <w:rPr>
                <w:sz w:val="20"/>
                <w:szCs w:val="20"/>
                <w:u w:val="single"/>
              </w:rPr>
              <w:t>periodic</w:t>
            </w:r>
            <w:r w:rsidRPr="00C61147">
              <w:rPr>
                <w:sz w:val="20"/>
                <w:szCs w:val="20"/>
                <w:u w:val="single"/>
              </w:rPr>
              <w:t xml:space="preserve"> researcher coordination meetings/teleconferences</w:t>
            </w:r>
            <w:r w:rsidRPr="00C61147">
              <w:rPr>
                <w:sz w:val="20"/>
                <w:szCs w:val="20"/>
              </w:rPr>
              <w:t>, with leads identified for each sub theme</w:t>
            </w:r>
          </w:p>
          <w:p w14:paraId="530272FF" w14:textId="77777777" w:rsidR="00FE6B83" w:rsidRPr="00EE0813" w:rsidRDefault="00FE6B83" w:rsidP="0029718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updates with the </w:t>
            </w:r>
            <w:proofErr w:type="spellStart"/>
            <w:r>
              <w:rPr>
                <w:sz w:val="20"/>
                <w:szCs w:val="20"/>
              </w:rPr>
              <w:t>workstream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0028E69" w14:textId="77777777" w:rsidR="00FE6B83" w:rsidRDefault="00FE6B83" w:rsidP="000D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Co-convenors with support from signatories willing to lead on key issues</w:t>
            </w:r>
          </w:p>
          <w:p w14:paraId="1D1E0998" w14:textId="77777777" w:rsidR="00FE6B83" w:rsidRPr="00C61147" w:rsidRDefault="00FE6B83" w:rsidP="000D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(Missed Opportunities members, CRS, WFP/CAFOD/ UNICE, ICRC, BRC)</w:t>
            </w:r>
          </w:p>
        </w:tc>
        <w:tc>
          <w:tcPr>
            <w:tcW w:w="1560" w:type="dxa"/>
          </w:tcPr>
          <w:p w14:paraId="2462CF95" w14:textId="77777777" w:rsidR="00FE6B83" w:rsidRDefault="00FE6B83" w:rsidP="000D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ODI, HLA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DC245EA" w14:textId="77777777" w:rsidR="00FE6B83" w:rsidRPr="00BA2D81" w:rsidRDefault="00FE6B83" w:rsidP="000D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6 months</w:t>
            </w:r>
          </w:p>
        </w:tc>
      </w:tr>
      <w:tr w:rsidR="00FE6B83" w:rsidRPr="00C61147" w14:paraId="0BE3D35D" w14:textId="77777777" w:rsidTr="008F488D">
        <w:trPr>
          <w:trHeight w:val="1908"/>
        </w:trPr>
        <w:tc>
          <w:tcPr>
            <w:tcW w:w="2018" w:type="dxa"/>
            <w:vMerge/>
          </w:tcPr>
          <w:p w14:paraId="44C67523" w14:textId="77777777" w:rsidR="00FE6B83" w:rsidRPr="00C61147" w:rsidRDefault="00FE6B83" w:rsidP="0029718A">
            <w:pPr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FFFFFF" w:themeFill="background1"/>
          </w:tcPr>
          <w:p w14:paraId="0C88A71F" w14:textId="77777777" w:rsidR="00FE6B83" w:rsidRPr="00EE0813" w:rsidRDefault="00FE6B83" w:rsidP="002971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E0813">
              <w:rPr>
                <w:sz w:val="20"/>
                <w:szCs w:val="20"/>
              </w:rPr>
              <w:t xml:space="preserve">Develop </w:t>
            </w:r>
            <w:r w:rsidRPr="00EE0813">
              <w:rPr>
                <w:sz w:val="20"/>
                <w:szCs w:val="20"/>
                <w:u w:val="single"/>
              </w:rPr>
              <w:t>guidance notes</w:t>
            </w:r>
            <w:r>
              <w:rPr>
                <w:sz w:val="20"/>
                <w:szCs w:val="20"/>
                <w:u w:val="single"/>
              </w:rPr>
              <w:t xml:space="preserve">, tip sheets </w:t>
            </w:r>
            <w:r w:rsidRPr="00EE0813">
              <w:rPr>
                <w:sz w:val="20"/>
                <w:szCs w:val="20"/>
                <w:u w:val="single"/>
              </w:rPr>
              <w:t>or similar tools</w:t>
            </w:r>
            <w:r w:rsidRPr="00EE0813">
              <w:rPr>
                <w:sz w:val="20"/>
                <w:szCs w:val="20"/>
              </w:rPr>
              <w:t xml:space="preserve"> drawing on relevant research findings and consultations in regional meetings and country pilots</w:t>
            </w:r>
            <w:r>
              <w:rPr>
                <w:sz w:val="20"/>
                <w:szCs w:val="20"/>
              </w:rPr>
              <w:t>, on how best to implement commitments, with a focus</w:t>
            </w:r>
            <w:r w:rsidRPr="00EE0813">
              <w:rPr>
                <w:sz w:val="20"/>
                <w:szCs w:val="20"/>
              </w:rPr>
              <w:t xml:space="preserve"> on:</w:t>
            </w:r>
          </w:p>
          <w:p w14:paraId="717FF6D9" w14:textId="77777777" w:rsidR="00FE6B83" w:rsidRPr="00C61147" w:rsidRDefault="00FE6B83" w:rsidP="0029718A">
            <w:pPr>
              <w:pStyle w:val="ListParagraph"/>
              <w:numPr>
                <w:ilvl w:val="2"/>
                <w:numId w:val="6"/>
              </w:numPr>
              <w:ind w:left="678"/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 xml:space="preserve">Best practices in </w:t>
            </w:r>
            <w:r w:rsidRPr="00C61147">
              <w:rPr>
                <w:sz w:val="20"/>
                <w:szCs w:val="20"/>
                <w:u w:val="single"/>
              </w:rPr>
              <w:t>partnerships</w:t>
            </w:r>
          </w:p>
          <w:p w14:paraId="552DD193" w14:textId="77777777" w:rsidR="00FE6B83" w:rsidRDefault="00FE6B83" w:rsidP="0029718A">
            <w:pPr>
              <w:pStyle w:val="ListParagraph"/>
              <w:numPr>
                <w:ilvl w:val="2"/>
                <w:numId w:val="6"/>
              </w:numPr>
              <w:ind w:left="678"/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  <w:u w:val="single"/>
              </w:rPr>
              <w:t>Country-level</w:t>
            </w:r>
            <w:r w:rsidRPr="00C61147">
              <w:rPr>
                <w:sz w:val="20"/>
                <w:szCs w:val="20"/>
              </w:rPr>
              <w:t xml:space="preserve"> </w:t>
            </w:r>
            <w:r w:rsidRPr="00C61147">
              <w:rPr>
                <w:sz w:val="20"/>
                <w:szCs w:val="20"/>
                <w:u w:val="single"/>
              </w:rPr>
              <w:t>financing</w:t>
            </w:r>
            <w:r w:rsidRPr="00C61147">
              <w:rPr>
                <w:sz w:val="20"/>
                <w:szCs w:val="20"/>
              </w:rPr>
              <w:t xml:space="preserve"> solutions for local actors</w:t>
            </w:r>
          </w:p>
          <w:p w14:paraId="59CDE039" w14:textId="77777777" w:rsidR="00FE6B83" w:rsidRDefault="00FE6B83" w:rsidP="0029718A">
            <w:pPr>
              <w:pStyle w:val="ListParagraph"/>
              <w:numPr>
                <w:ilvl w:val="2"/>
                <w:numId w:val="6"/>
              </w:numPr>
              <w:ind w:left="678"/>
              <w:rPr>
                <w:sz w:val="20"/>
                <w:szCs w:val="20"/>
              </w:rPr>
            </w:pPr>
            <w:r w:rsidRPr="00BA2D81">
              <w:rPr>
                <w:sz w:val="20"/>
                <w:szCs w:val="20"/>
              </w:rPr>
              <w:t xml:space="preserve">Supporting local actors to strengthen their </w:t>
            </w:r>
            <w:r w:rsidRPr="00BA2D81">
              <w:rPr>
                <w:sz w:val="20"/>
                <w:szCs w:val="20"/>
                <w:u w:val="single"/>
              </w:rPr>
              <w:t>capacity</w:t>
            </w:r>
            <w:r w:rsidRPr="00BA2D81">
              <w:rPr>
                <w:sz w:val="20"/>
                <w:szCs w:val="20"/>
              </w:rPr>
              <w:t xml:space="preserve"> </w:t>
            </w:r>
          </w:p>
          <w:p w14:paraId="4A1FD328" w14:textId="77777777" w:rsidR="00FE6B83" w:rsidRPr="00FE6B83" w:rsidRDefault="00FE6B83" w:rsidP="00FE6B83">
            <w:pPr>
              <w:pStyle w:val="ListParagraph"/>
              <w:numPr>
                <w:ilvl w:val="2"/>
                <w:numId w:val="6"/>
              </w:numPr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Engaging local actors in </w:t>
            </w:r>
            <w:r w:rsidRPr="0069418D">
              <w:rPr>
                <w:sz w:val="20"/>
                <w:szCs w:val="20"/>
                <w:u w:val="single"/>
              </w:rPr>
              <w:t>coordination</w:t>
            </w:r>
            <w:r>
              <w:rPr>
                <w:sz w:val="20"/>
                <w:szCs w:val="20"/>
              </w:rPr>
              <w:t xml:space="preserve"> mechanisms</w:t>
            </w:r>
          </w:p>
        </w:tc>
        <w:tc>
          <w:tcPr>
            <w:tcW w:w="2835" w:type="dxa"/>
            <w:shd w:val="clear" w:color="auto" w:fill="auto"/>
          </w:tcPr>
          <w:p w14:paraId="41F48750" w14:textId="77777777" w:rsidR="00FE6B83" w:rsidRDefault="00FE6B83" w:rsidP="0029718A">
            <w:pPr>
              <w:rPr>
                <w:sz w:val="20"/>
                <w:szCs w:val="20"/>
              </w:rPr>
            </w:pPr>
          </w:p>
          <w:p w14:paraId="5CF7E379" w14:textId="77777777" w:rsidR="00FE6B83" w:rsidRDefault="00FE6B83" w:rsidP="0029718A">
            <w:pPr>
              <w:rPr>
                <w:sz w:val="20"/>
                <w:szCs w:val="20"/>
              </w:rPr>
            </w:pPr>
          </w:p>
          <w:p w14:paraId="2CDE89E0" w14:textId="77777777" w:rsidR="00FE6B83" w:rsidRPr="00C61147" w:rsidDel="009E446F" w:rsidRDefault="00FE6B83" w:rsidP="0029718A">
            <w:pPr>
              <w:rPr>
                <w:sz w:val="20"/>
                <w:szCs w:val="20"/>
              </w:rPr>
            </w:pPr>
            <w:r w:rsidRPr="00C61147" w:rsidDel="009E446F">
              <w:rPr>
                <w:sz w:val="20"/>
                <w:szCs w:val="20"/>
              </w:rPr>
              <w:t>Missed Opportunities</w:t>
            </w:r>
            <w:r>
              <w:rPr>
                <w:sz w:val="20"/>
                <w:szCs w:val="20"/>
              </w:rPr>
              <w:t xml:space="preserve">, UNICEF/CP </w:t>
            </w:r>
            <w:proofErr w:type="spellStart"/>
            <w:r>
              <w:rPr>
                <w:sz w:val="20"/>
                <w:szCs w:val="20"/>
              </w:rPr>
              <w:t>AoR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05C25F2" w14:textId="77777777" w:rsidR="00FE6B83" w:rsidRPr="00C61147" w:rsidDel="00934848" w:rsidRDefault="00FE6B83" w:rsidP="0029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IFRC</w:t>
            </w:r>
          </w:p>
          <w:p w14:paraId="1A28B15F" w14:textId="77777777" w:rsidR="00FE6B83" w:rsidRDefault="00FE6B83" w:rsidP="0029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IFRC</w:t>
            </w:r>
          </w:p>
          <w:p w14:paraId="2629581D" w14:textId="77777777" w:rsidR="00FE6B83" w:rsidRDefault="00FE6B83" w:rsidP="0029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OCHA, UNICEF</w:t>
            </w:r>
          </w:p>
        </w:tc>
        <w:tc>
          <w:tcPr>
            <w:tcW w:w="1560" w:type="dxa"/>
          </w:tcPr>
          <w:p w14:paraId="1B2618C5" w14:textId="77777777" w:rsidR="00FE6B83" w:rsidRDefault="00FE6B83" w:rsidP="0029718A">
            <w:p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>Multiyear financing works stream, IASC HFTT</w:t>
            </w:r>
          </w:p>
          <w:p w14:paraId="1F90F4F1" w14:textId="77777777" w:rsidR="00FE6B83" w:rsidRDefault="00FE6B83" w:rsidP="0029718A">
            <w:pPr>
              <w:rPr>
                <w:sz w:val="20"/>
                <w:szCs w:val="20"/>
              </w:rPr>
            </w:pPr>
          </w:p>
          <w:p w14:paraId="17117DF2" w14:textId="77777777" w:rsidR="00FE6B83" w:rsidRPr="00C61147" w:rsidRDefault="00FE6B83" w:rsidP="0029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Nexus re country level financing</w:t>
            </w:r>
          </w:p>
        </w:tc>
        <w:tc>
          <w:tcPr>
            <w:tcW w:w="1417" w:type="dxa"/>
            <w:shd w:val="clear" w:color="auto" w:fill="auto"/>
          </w:tcPr>
          <w:p w14:paraId="15196FD4" w14:textId="77777777" w:rsidR="00FE6B83" w:rsidRDefault="00FE6B83" w:rsidP="0029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drafts</w:t>
            </w:r>
            <w:r w:rsidRPr="00AC6733">
              <w:rPr>
                <w:sz w:val="20"/>
                <w:szCs w:val="20"/>
              </w:rPr>
              <w:t xml:space="preserve"> finalized </w:t>
            </w:r>
            <w:r>
              <w:rPr>
                <w:sz w:val="20"/>
                <w:szCs w:val="20"/>
              </w:rPr>
              <w:t>September 2019</w:t>
            </w:r>
          </w:p>
        </w:tc>
      </w:tr>
      <w:tr w:rsidR="008F488D" w:rsidRPr="00C61147" w14:paraId="1416894A" w14:textId="77777777" w:rsidTr="00FE6B83">
        <w:tc>
          <w:tcPr>
            <w:tcW w:w="2018" w:type="dxa"/>
            <w:vMerge w:val="restart"/>
          </w:tcPr>
          <w:p w14:paraId="3E3044DE" w14:textId="77777777" w:rsidR="008F488D" w:rsidRPr="00C61147" w:rsidRDefault="008F488D" w:rsidP="0029718A">
            <w:pPr>
              <w:rPr>
                <w:b/>
                <w:sz w:val="20"/>
                <w:szCs w:val="20"/>
              </w:rPr>
            </w:pPr>
            <w:r w:rsidRPr="00C61147">
              <w:rPr>
                <w:b/>
                <w:sz w:val="20"/>
                <w:szCs w:val="20"/>
              </w:rPr>
              <w:t>Measurement</w:t>
            </w:r>
          </w:p>
          <w:p w14:paraId="5CCEC752" w14:textId="77777777" w:rsidR="008F488D" w:rsidRPr="00C61147" w:rsidRDefault="008F488D" w:rsidP="0029718A">
            <w:pPr>
              <w:rPr>
                <w:i/>
                <w:sz w:val="20"/>
                <w:szCs w:val="20"/>
              </w:rPr>
            </w:pPr>
            <w:r w:rsidRPr="00C61147">
              <w:rPr>
                <w:i/>
                <w:sz w:val="20"/>
                <w:szCs w:val="20"/>
              </w:rPr>
              <w:t xml:space="preserve">Support the measurement of progress on financing goals </w:t>
            </w:r>
          </w:p>
          <w:p w14:paraId="03C18A5B" w14:textId="77777777" w:rsidR="008F488D" w:rsidRPr="00C61147" w:rsidRDefault="008F488D" w:rsidP="0029718A">
            <w:pPr>
              <w:rPr>
                <w:b/>
                <w:sz w:val="20"/>
                <w:szCs w:val="20"/>
              </w:rPr>
            </w:pPr>
          </w:p>
          <w:p w14:paraId="32E57850" w14:textId="77777777" w:rsidR="008F488D" w:rsidRDefault="008F488D" w:rsidP="0029718A">
            <w:pPr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auto"/>
          </w:tcPr>
          <w:p w14:paraId="284551D5" w14:textId="77777777" w:rsidR="008F488D" w:rsidRPr="00C61147" w:rsidDel="003F6C45" w:rsidRDefault="008F488D" w:rsidP="0029718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C61147" w:rsidDel="003F6C45">
              <w:rPr>
                <w:sz w:val="20"/>
                <w:szCs w:val="20"/>
              </w:rPr>
              <w:t xml:space="preserve">Finalize agreements on </w:t>
            </w:r>
            <w:r w:rsidRPr="00C61147" w:rsidDel="003F6C45">
              <w:rPr>
                <w:sz w:val="20"/>
                <w:szCs w:val="20"/>
                <w:u w:val="single"/>
              </w:rPr>
              <w:t>definitions and</w:t>
            </w:r>
            <w:r w:rsidRPr="00C61147" w:rsidDel="003F6C45">
              <w:rPr>
                <w:sz w:val="20"/>
                <w:szCs w:val="20"/>
              </w:rPr>
              <w:t xml:space="preserve"> </w:t>
            </w:r>
            <w:r w:rsidRPr="00C61147" w:rsidDel="003F6C45">
              <w:rPr>
                <w:sz w:val="20"/>
                <w:szCs w:val="20"/>
                <w:u w:val="single"/>
              </w:rPr>
              <w:t>categories</w:t>
            </w:r>
            <w:r w:rsidRPr="00C61147" w:rsidDel="003F6C45">
              <w:rPr>
                <w:sz w:val="20"/>
                <w:szCs w:val="20"/>
              </w:rPr>
              <w:t xml:space="preserve"> for reporting on financing goals.</w:t>
            </w:r>
          </w:p>
          <w:p w14:paraId="066117C6" w14:textId="77777777" w:rsidR="008F488D" w:rsidRPr="00C61147" w:rsidDel="003F6C45" w:rsidRDefault="008F488D" w:rsidP="00C81226">
            <w:pPr>
              <w:pStyle w:val="ListParagraph"/>
              <w:numPr>
                <w:ilvl w:val="1"/>
                <w:numId w:val="7"/>
              </w:numPr>
              <w:ind w:left="819"/>
              <w:rPr>
                <w:sz w:val="20"/>
                <w:szCs w:val="20"/>
              </w:rPr>
            </w:pPr>
            <w:r w:rsidRPr="00C61147" w:rsidDel="003F6C45">
              <w:rPr>
                <w:sz w:val="20"/>
                <w:szCs w:val="20"/>
              </w:rPr>
              <w:t>Disseminate consolidated guidance to relevant actors</w:t>
            </w:r>
          </w:p>
          <w:p w14:paraId="55D9ADAB" w14:textId="77777777" w:rsidR="008F488D" w:rsidRDefault="008F488D" w:rsidP="0029718A">
            <w:pPr>
              <w:pStyle w:val="ListParagraph"/>
              <w:numPr>
                <w:ilvl w:val="1"/>
                <w:numId w:val="7"/>
              </w:numPr>
              <w:ind w:left="819"/>
              <w:rPr>
                <w:sz w:val="20"/>
                <w:szCs w:val="20"/>
              </w:rPr>
            </w:pPr>
            <w:r w:rsidRPr="00C61147" w:rsidDel="003F6C45">
              <w:rPr>
                <w:sz w:val="20"/>
                <w:szCs w:val="20"/>
              </w:rPr>
              <w:t>Dialogue with IATI, OCHA FTS, OECD other external partners that can track financing</w:t>
            </w:r>
          </w:p>
          <w:p w14:paraId="1AE84F71" w14:textId="77777777" w:rsidR="008F488D" w:rsidRPr="00C81226" w:rsidDel="003F6C45" w:rsidRDefault="008F488D" w:rsidP="0029718A">
            <w:pPr>
              <w:pStyle w:val="ListParagraph"/>
              <w:numPr>
                <w:ilvl w:val="1"/>
                <w:numId w:val="7"/>
              </w:numPr>
              <w:ind w:left="819"/>
              <w:rPr>
                <w:sz w:val="20"/>
                <w:szCs w:val="20"/>
              </w:rPr>
            </w:pPr>
            <w:r w:rsidRPr="00FE6B83">
              <w:rPr>
                <w:sz w:val="20"/>
                <w:szCs w:val="20"/>
              </w:rPr>
              <w:t>Support FTS to systematically categorize organizations upon finalization of definitions</w:t>
            </w:r>
          </w:p>
        </w:tc>
        <w:tc>
          <w:tcPr>
            <w:tcW w:w="2835" w:type="dxa"/>
            <w:shd w:val="clear" w:color="auto" w:fill="auto"/>
          </w:tcPr>
          <w:p w14:paraId="5D3C5F1E" w14:textId="77777777" w:rsidR="008F488D" w:rsidRDefault="008F488D" w:rsidP="0029718A">
            <w:pPr>
              <w:rPr>
                <w:sz w:val="20"/>
                <w:szCs w:val="20"/>
              </w:rPr>
            </w:pPr>
          </w:p>
          <w:p w14:paraId="7019DD29" w14:textId="77777777" w:rsidR="008F488D" w:rsidRDefault="008F488D" w:rsidP="0029718A">
            <w:pPr>
              <w:rPr>
                <w:sz w:val="20"/>
                <w:szCs w:val="20"/>
              </w:rPr>
            </w:pPr>
          </w:p>
          <w:p w14:paraId="2B4650E0" w14:textId="77777777" w:rsidR="008F488D" w:rsidRPr="00C61147" w:rsidDel="003F6C45" w:rsidRDefault="008F488D" w:rsidP="0029718A">
            <w:pPr>
              <w:rPr>
                <w:sz w:val="20"/>
                <w:szCs w:val="20"/>
              </w:rPr>
            </w:pPr>
            <w:r w:rsidRPr="00C61147" w:rsidDel="003F6C45">
              <w:rPr>
                <w:sz w:val="20"/>
                <w:szCs w:val="20"/>
              </w:rPr>
              <w:t xml:space="preserve">Co-conveners </w:t>
            </w:r>
          </w:p>
          <w:p w14:paraId="43997944" w14:textId="77777777" w:rsidR="008F488D" w:rsidRPr="00C61147" w:rsidDel="003F6C45" w:rsidRDefault="008F488D" w:rsidP="0029718A">
            <w:pPr>
              <w:rPr>
                <w:sz w:val="20"/>
                <w:szCs w:val="20"/>
              </w:rPr>
            </w:pPr>
          </w:p>
          <w:p w14:paraId="71CE0203" w14:textId="77777777" w:rsidR="008F488D" w:rsidRDefault="008F488D" w:rsidP="0029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Co-Convenors and IASC HFTT</w:t>
            </w:r>
          </w:p>
          <w:p w14:paraId="073024E7" w14:textId="77777777" w:rsidR="008F488D" w:rsidRDefault="008F488D" w:rsidP="00C81226">
            <w:pPr>
              <w:rPr>
                <w:sz w:val="20"/>
                <w:szCs w:val="20"/>
              </w:rPr>
            </w:pPr>
          </w:p>
          <w:p w14:paraId="5D04767A" w14:textId="77777777" w:rsidR="008F488D" w:rsidRPr="00C61147" w:rsidDel="003F6C45" w:rsidRDefault="008F488D" w:rsidP="00C81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OCHA</w:t>
            </w:r>
          </w:p>
        </w:tc>
        <w:tc>
          <w:tcPr>
            <w:tcW w:w="1560" w:type="dxa"/>
          </w:tcPr>
          <w:p w14:paraId="0F4207E1" w14:textId="77777777" w:rsidR="008F488D" w:rsidRDefault="008F488D" w:rsidP="0029718A">
            <w:pPr>
              <w:rPr>
                <w:sz w:val="20"/>
                <w:szCs w:val="20"/>
              </w:rPr>
            </w:pPr>
            <w:r w:rsidRPr="00C61147">
              <w:rPr>
                <w:sz w:val="20"/>
                <w:szCs w:val="20"/>
              </w:rPr>
              <w:t>Multiyear financing WS, IASC HFTT</w:t>
            </w:r>
          </w:p>
        </w:tc>
        <w:tc>
          <w:tcPr>
            <w:tcW w:w="1417" w:type="dxa"/>
            <w:shd w:val="clear" w:color="auto" w:fill="auto"/>
          </w:tcPr>
          <w:p w14:paraId="7335093E" w14:textId="319362AE" w:rsidR="008F488D" w:rsidRPr="00BA2D81" w:rsidDel="003F6C45" w:rsidRDefault="008F488D" w:rsidP="0084532A">
            <w:pPr>
              <w:ind w:left="720" w:hanging="720"/>
              <w:rPr>
                <w:sz w:val="20"/>
                <w:szCs w:val="20"/>
              </w:rPr>
            </w:pPr>
            <w:r w:rsidRPr="00BA2D81" w:rsidDel="003F6C45">
              <w:rPr>
                <w:sz w:val="20"/>
                <w:szCs w:val="20"/>
              </w:rPr>
              <w:t>Nov 201</w:t>
            </w:r>
            <w:r w:rsidR="0084532A">
              <w:rPr>
                <w:sz w:val="20"/>
                <w:szCs w:val="20"/>
              </w:rPr>
              <w:t>7</w:t>
            </w:r>
          </w:p>
          <w:p w14:paraId="54B08CCD" w14:textId="77777777" w:rsidR="008F488D" w:rsidRPr="00BA2D81" w:rsidDel="003F6C45" w:rsidRDefault="008F488D" w:rsidP="0029718A">
            <w:pPr>
              <w:rPr>
                <w:sz w:val="20"/>
                <w:szCs w:val="20"/>
              </w:rPr>
            </w:pPr>
          </w:p>
        </w:tc>
      </w:tr>
      <w:tr w:rsidR="008F488D" w:rsidRPr="00C61147" w14:paraId="71DD1648" w14:textId="77777777" w:rsidTr="00FE6B83">
        <w:tc>
          <w:tcPr>
            <w:tcW w:w="2018" w:type="dxa"/>
            <w:vMerge/>
          </w:tcPr>
          <w:p w14:paraId="3F9D962D" w14:textId="77777777" w:rsidR="008F488D" w:rsidRPr="00C61147" w:rsidRDefault="008F488D" w:rsidP="0029718A">
            <w:pPr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auto"/>
          </w:tcPr>
          <w:p w14:paraId="1B972254" w14:textId="77777777" w:rsidR="008F488D" w:rsidRPr="0029718A" w:rsidRDefault="008F488D" w:rsidP="0029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 </w:t>
            </w:r>
            <w:r w:rsidRPr="008F488D">
              <w:rPr>
                <w:sz w:val="20"/>
                <w:szCs w:val="20"/>
                <w:u w:val="single"/>
              </w:rPr>
              <w:t>modifications to</w:t>
            </w:r>
            <w:r w:rsidRPr="008F488D" w:rsidDel="003F6C45">
              <w:rPr>
                <w:sz w:val="20"/>
                <w:szCs w:val="20"/>
                <w:u w:val="single"/>
              </w:rPr>
              <w:t xml:space="preserve"> the 2017 GB reporting template</w:t>
            </w:r>
            <w:r w:rsidRPr="0029718A" w:rsidDel="003F6C45">
              <w:rPr>
                <w:sz w:val="20"/>
                <w:szCs w:val="20"/>
              </w:rPr>
              <w:t xml:space="preserve"> to include reporting on financing goals and support its use by GB signatories.</w:t>
            </w:r>
          </w:p>
        </w:tc>
        <w:tc>
          <w:tcPr>
            <w:tcW w:w="2835" w:type="dxa"/>
            <w:shd w:val="clear" w:color="auto" w:fill="auto"/>
          </w:tcPr>
          <w:p w14:paraId="100CAC29" w14:textId="77777777" w:rsidR="008F488D" w:rsidRPr="00C61147" w:rsidRDefault="008F488D" w:rsidP="0029718A">
            <w:pPr>
              <w:rPr>
                <w:sz w:val="20"/>
                <w:szCs w:val="20"/>
              </w:rPr>
            </w:pPr>
            <w:r w:rsidRPr="00C61147" w:rsidDel="003F6C45">
              <w:rPr>
                <w:sz w:val="20"/>
                <w:szCs w:val="20"/>
              </w:rPr>
              <w:t xml:space="preserve">Co-conveners </w:t>
            </w:r>
          </w:p>
        </w:tc>
        <w:tc>
          <w:tcPr>
            <w:tcW w:w="1560" w:type="dxa"/>
          </w:tcPr>
          <w:p w14:paraId="51356AD9" w14:textId="77777777" w:rsidR="008F488D" w:rsidRDefault="008F488D" w:rsidP="0029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Facilitation Group</w:t>
            </w:r>
          </w:p>
          <w:p w14:paraId="0950EB64" w14:textId="77777777" w:rsidR="008F488D" w:rsidRPr="00BA2D81" w:rsidDel="003F6C45" w:rsidRDefault="008F488D" w:rsidP="0029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IASC HFTT</w:t>
            </w:r>
          </w:p>
        </w:tc>
        <w:tc>
          <w:tcPr>
            <w:tcW w:w="1417" w:type="dxa"/>
            <w:shd w:val="clear" w:color="auto" w:fill="auto"/>
          </w:tcPr>
          <w:p w14:paraId="006305AB" w14:textId="3BE3B9A0" w:rsidR="008F488D" w:rsidRPr="00C61147" w:rsidRDefault="009B32B6" w:rsidP="0029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="008F488D" w:rsidRPr="00BA2D81" w:rsidDel="003F6C45">
              <w:rPr>
                <w:sz w:val="20"/>
                <w:szCs w:val="20"/>
              </w:rPr>
              <w:t xml:space="preserve"> 2017</w:t>
            </w:r>
          </w:p>
        </w:tc>
      </w:tr>
      <w:tr w:rsidR="008F488D" w:rsidRPr="00C61147" w14:paraId="126BEBE8" w14:textId="77777777" w:rsidTr="00CD6AE0">
        <w:trPr>
          <w:trHeight w:val="510"/>
        </w:trPr>
        <w:tc>
          <w:tcPr>
            <w:tcW w:w="2018" w:type="dxa"/>
            <w:vMerge/>
          </w:tcPr>
          <w:p w14:paraId="49ACCBF5" w14:textId="77777777" w:rsidR="008F488D" w:rsidRPr="00C61147" w:rsidRDefault="008F488D" w:rsidP="0029718A">
            <w:pPr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shd w:val="clear" w:color="auto" w:fill="auto"/>
          </w:tcPr>
          <w:p w14:paraId="05194B5A" w14:textId="77777777" w:rsidR="008F488D" w:rsidRPr="008F488D" w:rsidRDefault="008F488D" w:rsidP="008F488D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C61147" w:rsidDel="003F6C45">
              <w:rPr>
                <w:sz w:val="20"/>
                <w:szCs w:val="20"/>
              </w:rPr>
              <w:t xml:space="preserve">Develop a </w:t>
            </w:r>
            <w:r w:rsidRPr="00C61147" w:rsidDel="003F6C45">
              <w:rPr>
                <w:sz w:val="20"/>
                <w:szCs w:val="20"/>
                <w:u w:val="single"/>
              </w:rPr>
              <w:t>baseline study on financing</w:t>
            </w:r>
            <w:r>
              <w:rPr>
                <w:sz w:val="20"/>
                <w:szCs w:val="20"/>
                <w:u w:val="single"/>
              </w:rPr>
              <w:t>,</w:t>
            </w:r>
            <w:r w:rsidRPr="00C61147" w:rsidDel="003F6C45">
              <w:rPr>
                <w:sz w:val="20"/>
                <w:szCs w:val="20"/>
              </w:rPr>
              <w:t xml:space="preserve"> looking at 2016 data</w:t>
            </w:r>
          </w:p>
        </w:tc>
        <w:tc>
          <w:tcPr>
            <w:tcW w:w="2835" w:type="dxa"/>
            <w:shd w:val="clear" w:color="auto" w:fill="auto"/>
          </w:tcPr>
          <w:p w14:paraId="366C6AE7" w14:textId="168D30C3" w:rsidR="008F488D" w:rsidRPr="00C61147" w:rsidRDefault="0084532A" w:rsidP="0029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CAFOD/LMWG</w:t>
            </w:r>
          </w:p>
        </w:tc>
        <w:tc>
          <w:tcPr>
            <w:tcW w:w="1560" w:type="dxa"/>
          </w:tcPr>
          <w:p w14:paraId="784DE406" w14:textId="77777777" w:rsidR="008F488D" w:rsidRPr="00E61B90" w:rsidDel="003F6C45" w:rsidRDefault="008F488D" w:rsidP="0029718A">
            <w:pPr>
              <w:rPr>
                <w:sz w:val="20"/>
                <w:szCs w:val="20"/>
              </w:rPr>
            </w:pPr>
            <w:r w:rsidRPr="00E61B90">
              <w:rPr>
                <w:sz w:val="20"/>
                <w:szCs w:val="20"/>
              </w:rPr>
              <w:t>IASC HFTT</w:t>
            </w:r>
          </w:p>
        </w:tc>
        <w:tc>
          <w:tcPr>
            <w:tcW w:w="1417" w:type="dxa"/>
            <w:shd w:val="clear" w:color="auto" w:fill="auto"/>
          </w:tcPr>
          <w:p w14:paraId="5F31BEA7" w14:textId="77777777" w:rsidR="008F488D" w:rsidRPr="00BA2D81" w:rsidRDefault="008F488D" w:rsidP="0029718A">
            <w:pPr>
              <w:rPr>
                <w:sz w:val="20"/>
                <w:szCs w:val="20"/>
              </w:rPr>
            </w:pPr>
            <w:r w:rsidRPr="00FE6B83">
              <w:rPr>
                <w:sz w:val="20"/>
                <w:szCs w:val="20"/>
              </w:rPr>
              <w:t>March 2018</w:t>
            </w:r>
          </w:p>
        </w:tc>
      </w:tr>
    </w:tbl>
    <w:p w14:paraId="5145D196" w14:textId="77777777" w:rsidR="00DF5B80" w:rsidRDefault="00DF5B80" w:rsidP="009F6879"/>
    <w:sectPr w:rsidR="00DF5B80" w:rsidSect="001A056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923C1" w14:textId="77777777" w:rsidR="003831FE" w:rsidRDefault="003831FE" w:rsidP="004117DB">
      <w:pPr>
        <w:spacing w:after="0" w:line="240" w:lineRule="auto"/>
      </w:pPr>
      <w:r>
        <w:separator/>
      </w:r>
    </w:p>
  </w:endnote>
  <w:endnote w:type="continuationSeparator" w:id="0">
    <w:p w14:paraId="1709C548" w14:textId="77777777" w:rsidR="003831FE" w:rsidRDefault="003831FE" w:rsidP="0041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84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A584F" w14:textId="77777777" w:rsidR="00F53B3D" w:rsidRDefault="00F53B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0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7AAA44" w14:textId="77777777" w:rsidR="00F53B3D" w:rsidRDefault="00F53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6A7A0" w14:textId="77777777" w:rsidR="003831FE" w:rsidRDefault="003831FE" w:rsidP="004117DB">
      <w:pPr>
        <w:spacing w:after="0" w:line="240" w:lineRule="auto"/>
      </w:pPr>
      <w:r>
        <w:separator/>
      </w:r>
    </w:p>
  </w:footnote>
  <w:footnote w:type="continuationSeparator" w:id="0">
    <w:p w14:paraId="73FD89A4" w14:textId="77777777" w:rsidR="003831FE" w:rsidRDefault="003831FE" w:rsidP="0041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39C"/>
    <w:multiLevelType w:val="hybridMultilevel"/>
    <w:tmpl w:val="00A06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04E3E"/>
    <w:multiLevelType w:val="hybridMultilevel"/>
    <w:tmpl w:val="AA94A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B6CFC"/>
    <w:multiLevelType w:val="hybridMultilevel"/>
    <w:tmpl w:val="A2C0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1F3A"/>
    <w:multiLevelType w:val="hybridMultilevel"/>
    <w:tmpl w:val="C41E6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3883"/>
    <w:multiLevelType w:val="hybridMultilevel"/>
    <w:tmpl w:val="4F221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12F69"/>
    <w:multiLevelType w:val="hybridMultilevel"/>
    <w:tmpl w:val="04D6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334C"/>
    <w:multiLevelType w:val="hybridMultilevel"/>
    <w:tmpl w:val="65BC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1A28"/>
    <w:multiLevelType w:val="hybridMultilevel"/>
    <w:tmpl w:val="79C039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559"/>
    <w:multiLevelType w:val="hybridMultilevel"/>
    <w:tmpl w:val="91E45A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1C4537"/>
    <w:multiLevelType w:val="hybridMultilevel"/>
    <w:tmpl w:val="11761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3BBC"/>
    <w:multiLevelType w:val="hybridMultilevel"/>
    <w:tmpl w:val="A146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763CE"/>
    <w:multiLevelType w:val="hybridMultilevel"/>
    <w:tmpl w:val="6C1E5330"/>
    <w:lvl w:ilvl="0" w:tplc="6670593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46C92"/>
    <w:multiLevelType w:val="hybridMultilevel"/>
    <w:tmpl w:val="1726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773FD6"/>
    <w:multiLevelType w:val="hybridMultilevel"/>
    <w:tmpl w:val="75BC0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951B95"/>
    <w:multiLevelType w:val="hybridMultilevel"/>
    <w:tmpl w:val="A8CA0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500A7"/>
    <w:multiLevelType w:val="hybridMultilevel"/>
    <w:tmpl w:val="7FE4F0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996DED"/>
    <w:multiLevelType w:val="hybridMultilevel"/>
    <w:tmpl w:val="DC66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C6DE5"/>
    <w:multiLevelType w:val="hybridMultilevel"/>
    <w:tmpl w:val="EFD8DB1E"/>
    <w:lvl w:ilvl="0" w:tplc="F5E86700">
      <w:start w:val="1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C7620B"/>
    <w:multiLevelType w:val="hybridMultilevel"/>
    <w:tmpl w:val="7390D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2E459A"/>
    <w:multiLevelType w:val="hybridMultilevel"/>
    <w:tmpl w:val="ECB44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71BCC"/>
    <w:multiLevelType w:val="multilevel"/>
    <w:tmpl w:val="4784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A0522"/>
    <w:multiLevelType w:val="hybridMultilevel"/>
    <w:tmpl w:val="4688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7"/>
  </w:num>
  <w:num w:numId="6">
    <w:abstractNumId w:val="18"/>
  </w:num>
  <w:num w:numId="7">
    <w:abstractNumId w:val="12"/>
  </w:num>
  <w:num w:numId="8">
    <w:abstractNumId w:val="13"/>
  </w:num>
  <w:num w:numId="9">
    <w:abstractNumId w:val="1"/>
  </w:num>
  <w:num w:numId="10">
    <w:abstractNumId w:val="2"/>
  </w:num>
  <w:num w:numId="11">
    <w:abstractNumId w:val="21"/>
  </w:num>
  <w:num w:numId="12">
    <w:abstractNumId w:val="8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14"/>
  </w:num>
  <w:num w:numId="18">
    <w:abstractNumId w:val="19"/>
  </w:num>
  <w:num w:numId="19">
    <w:abstractNumId w:val="9"/>
  </w:num>
  <w:num w:numId="20">
    <w:abstractNumId w:val="6"/>
  </w:num>
  <w:num w:numId="21">
    <w:abstractNumId w:val="4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79"/>
    <w:rsid w:val="00020881"/>
    <w:rsid w:val="00025A53"/>
    <w:rsid w:val="00040BDA"/>
    <w:rsid w:val="000412B0"/>
    <w:rsid w:val="0005611F"/>
    <w:rsid w:val="00076B54"/>
    <w:rsid w:val="000D3C9C"/>
    <w:rsid w:val="000D68CC"/>
    <w:rsid w:val="000E6CEC"/>
    <w:rsid w:val="000F7F2D"/>
    <w:rsid w:val="00106BE1"/>
    <w:rsid w:val="00122973"/>
    <w:rsid w:val="00146695"/>
    <w:rsid w:val="00150CB2"/>
    <w:rsid w:val="00166255"/>
    <w:rsid w:val="00172E39"/>
    <w:rsid w:val="001837F0"/>
    <w:rsid w:val="001844C7"/>
    <w:rsid w:val="00184EE4"/>
    <w:rsid w:val="00187307"/>
    <w:rsid w:val="001A0569"/>
    <w:rsid w:val="001A7106"/>
    <w:rsid w:val="001C3E0F"/>
    <w:rsid w:val="001D1AF2"/>
    <w:rsid w:val="001D75BC"/>
    <w:rsid w:val="001F5BC3"/>
    <w:rsid w:val="00222766"/>
    <w:rsid w:val="00234F88"/>
    <w:rsid w:val="00264DF3"/>
    <w:rsid w:val="002849B3"/>
    <w:rsid w:val="00286BEC"/>
    <w:rsid w:val="0029718A"/>
    <w:rsid w:val="002D06EA"/>
    <w:rsid w:val="002F1237"/>
    <w:rsid w:val="00303EC9"/>
    <w:rsid w:val="00315732"/>
    <w:rsid w:val="0032036F"/>
    <w:rsid w:val="00341633"/>
    <w:rsid w:val="00346D34"/>
    <w:rsid w:val="003525F7"/>
    <w:rsid w:val="00353114"/>
    <w:rsid w:val="00370E5E"/>
    <w:rsid w:val="003759D4"/>
    <w:rsid w:val="003831FE"/>
    <w:rsid w:val="00397085"/>
    <w:rsid w:val="003A3276"/>
    <w:rsid w:val="003B5C3A"/>
    <w:rsid w:val="00403D5F"/>
    <w:rsid w:val="004117DB"/>
    <w:rsid w:val="00431F41"/>
    <w:rsid w:val="00437581"/>
    <w:rsid w:val="0045187D"/>
    <w:rsid w:val="00472661"/>
    <w:rsid w:val="004C5668"/>
    <w:rsid w:val="004D0DC5"/>
    <w:rsid w:val="004D6180"/>
    <w:rsid w:val="004D627F"/>
    <w:rsid w:val="004F58BB"/>
    <w:rsid w:val="00516F4F"/>
    <w:rsid w:val="005231B4"/>
    <w:rsid w:val="005248CC"/>
    <w:rsid w:val="00545373"/>
    <w:rsid w:val="00557882"/>
    <w:rsid w:val="00573180"/>
    <w:rsid w:val="00575935"/>
    <w:rsid w:val="00576C61"/>
    <w:rsid w:val="005908CF"/>
    <w:rsid w:val="00592C29"/>
    <w:rsid w:val="005A5218"/>
    <w:rsid w:val="005A6BCB"/>
    <w:rsid w:val="005C501D"/>
    <w:rsid w:val="005D1356"/>
    <w:rsid w:val="005E0E5F"/>
    <w:rsid w:val="00603396"/>
    <w:rsid w:val="006178A6"/>
    <w:rsid w:val="0062359C"/>
    <w:rsid w:val="006505F3"/>
    <w:rsid w:val="00653A65"/>
    <w:rsid w:val="00655986"/>
    <w:rsid w:val="00670D50"/>
    <w:rsid w:val="00690416"/>
    <w:rsid w:val="006915A3"/>
    <w:rsid w:val="0069418D"/>
    <w:rsid w:val="006B006D"/>
    <w:rsid w:val="006D1CF8"/>
    <w:rsid w:val="006D2550"/>
    <w:rsid w:val="006D524F"/>
    <w:rsid w:val="006F147C"/>
    <w:rsid w:val="006F1E6F"/>
    <w:rsid w:val="0070431D"/>
    <w:rsid w:val="0072334C"/>
    <w:rsid w:val="0074634E"/>
    <w:rsid w:val="0074685C"/>
    <w:rsid w:val="007A7074"/>
    <w:rsid w:val="007D1856"/>
    <w:rsid w:val="007F3EA2"/>
    <w:rsid w:val="00811C49"/>
    <w:rsid w:val="00816631"/>
    <w:rsid w:val="0084189B"/>
    <w:rsid w:val="0084532A"/>
    <w:rsid w:val="00860C41"/>
    <w:rsid w:val="00875C2C"/>
    <w:rsid w:val="00880D6B"/>
    <w:rsid w:val="0088644C"/>
    <w:rsid w:val="008A2F0B"/>
    <w:rsid w:val="008B4952"/>
    <w:rsid w:val="008C0A54"/>
    <w:rsid w:val="008F488D"/>
    <w:rsid w:val="008F5870"/>
    <w:rsid w:val="00915A16"/>
    <w:rsid w:val="009179FF"/>
    <w:rsid w:val="00926817"/>
    <w:rsid w:val="00934532"/>
    <w:rsid w:val="00934848"/>
    <w:rsid w:val="009378A0"/>
    <w:rsid w:val="009459D1"/>
    <w:rsid w:val="00965A81"/>
    <w:rsid w:val="009B32B6"/>
    <w:rsid w:val="009C7D91"/>
    <w:rsid w:val="009D71F5"/>
    <w:rsid w:val="009E446F"/>
    <w:rsid w:val="009F0267"/>
    <w:rsid w:val="009F6879"/>
    <w:rsid w:val="00A16CEA"/>
    <w:rsid w:val="00A35093"/>
    <w:rsid w:val="00A643F4"/>
    <w:rsid w:val="00AA4427"/>
    <w:rsid w:val="00AC6733"/>
    <w:rsid w:val="00AD5720"/>
    <w:rsid w:val="00AE43E2"/>
    <w:rsid w:val="00AE6810"/>
    <w:rsid w:val="00B0444C"/>
    <w:rsid w:val="00B273F6"/>
    <w:rsid w:val="00B56722"/>
    <w:rsid w:val="00B772ED"/>
    <w:rsid w:val="00B86548"/>
    <w:rsid w:val="00B96BF1"/>
    <w:rsid w:val="00BA2D81"/>
    <w:rsid w:val="00BB135E"/>
    <w:rsid w:val="00BC30C7"/>
    <w:rsid w:val="00BE6E8E"/>
    <w:rsid w:val="00BF193C"/>
    <w:rsid w:val="00C3773B"/>
    <w:rsid w:val="00C537BC"/>
    <w:rsid w:val="00C61147"/>
    <w:rsid w:val="00C65894"/>
    <w:rsid w:val="00C72667"/>
    <w:rsid w:val="00C74DE4"/>
    <w:rsid w:val="00C81226"/>
    <w:rsid w:val="00C86269"/>
    <w:rsid w:val="00C870D6"/>
    <w:rsid w:val="00CA021F"/>
    <w:rsid w:val="00CA41C2"/>
    <w:rsid w:val="00CA4E70"/>
    <w:rsid w:val="00CC0592"/>
    <w:rsid w:val="00CC7EDF"/>
    <w:rsid w:val="00D4248D"/>
    <w:rsid w:val="00D83D23"/>
    <w:rsid w:val="00D91079"/>
    <w:rsid w:val="00DA15D6"/>
    <w:rsid w:val="00DA27DE"/>
    <w:rsid w:val="00DB4077"/>
    <w:rsid w:val="00DD0BF0"/>
    <w:rsid w:val="00DE6E1E"/>
    <w:rsid w:val="00DF5B80"/>
    <w:rsid w:val="00DF6E7D"/>
    <w:rsid w:val="00E03538"/>
    <w:rsid w:val="00E131E2"/>
    <w:rsid w:val="00E146DA"/>
    <w:rsid w:val="00E36366"/>
    <w:rsid w:val="00E503BC"/>
    <w:rsid w:val="00E61B90"/>
    <w:rsid w:val="00E77295"/>
    <w:rsid w:val="00E9297D"/>
    <w:rsid w:val="00EC6130"/>
    <w:rsid w:val="00EE0813"/>
    <w:rsid w:val="00F07018"/>
    <w:rsid w:val="00F242E0"/>
    <w:rsid w:val="00F53B3D"/>
    <w:rsid w:val="00F64761"/>
    <w:rsid w:val="00F6706D"/>
    <w:rsid w:val="00F831CC"/>
    <w:rsid w:val="00F92443"/>
    <w:rsid w:val="00F92EA4"/>
    <w:rsid w:val="00FA05C1"/>
    <w:rsid w:val="00FB4138"/>
    <w:rsid w:val="00FD227C"/>
    <w:rsid w:val="00FE6B83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C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umbered List Paragraph,Bullets,References,Medium Grid 1 - Accent 21,Liste 1,List Paragraph1,List Bullet Mary"/>
    <w:basedOn w:val="Normal"/>
    <w:link w:val="ListParagraphChar"/>
    <w:uiPriority w:val="34"/>
    <w:qFormat/>
    <w:rsid w:val="009F6879"/>
    <w:pPr>
      <w:ind w:left="720"/>
      <w:contextualSpacing/>
    </w:pPr>
  </w:style>
  <w:style w:type="character" w:customStyle="1" w:styleId="ListParagraphChar">
    <w:name w:val="List Paragraph Char"/>
    <w:aliases w:val="List Paragraph (numbered (a)) Char,Numbered List Paragraph Char,Bullets Char,References Char,Medium Grid 1 - Accent 21 Char,Liste 1 Char,List Paragraph1 Char,List Bullet Mary Char"/>
    <w:link w:val="ListParagraph"/>
    <w:uiPriority w:val="34"/>
    <w:locked/>
    <w:rsid w:val="009F6879"/>
  </w:style>
  <w:style w:type="table" w:styleId="TableGrid">
    <w:name w:val="Table Grid"/>
    <w:basedOn w:val="TableNormal"/>
    <w:uiPriority w:val="39"/>
    <w:rsid w:val="001A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1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7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7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5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5B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0B"/>
  </w:style>
  <w:style w:type="paragraph" w:styleId="Footer">
    <w:name w:val="footer"/>
    <w:basedOn w:val="Normal"/>
    <w:link w:val="FooterChar"/>
    <w:uiPriority w:val="99"/>
    <w:unhideWhenUsed/>
    <w:rsid w:val="008A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C938-C44C-47F4-BAFD-4DC1B2AE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HAGON</dc:creator>
  <cp:lastModifiedBy>Lehoux, Frederique</cp:lastModifiedBy>
  <cp:revision>3</cp:revision>
  <cp:lastPrinted>2017-11-09T08:44:00Z</cp:lastPrinted>
  <dcterms:created xsi:type="dcterms:W3CDTF">2017-12-21T12:07:00Z</dcterms:created>
  <dcterms:modified xsi:type="dcterms:W3CDTF">2017-12-21T12:10:00Z</dcterms:modified>
</cp:coreProperties>
</file>